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D001D8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D001D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30.11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 xml:space="preserve">(PhDr. Branislav </w:t>
            </w:r>
            <w:proofErr w:type="spellStart"/>
            <w:r w:rsidRPr="00E12A9A">
              <w:t>Bonk</w:t>
            </w:r>
            <w:proofErr w:type="spellEnd"/>
            <w:r w:rsidRPr="00E12A9A"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Vecný pokrok v realizácii aktivity:</w:t>
            </w:r>
          </w:p>
          <w:p w:rsidR="00CA3EAC" w:rsidRDefault="00CA3EAC" w:rsidP="00F3203C">
            <w:r>
              <w:t xml:space="preserve">V mesiaci </w:t>
            </w:r>
            <w:r w:rsidR="00304691">
              <w:t xml:space="preserve">november boli realizované nasledovné stavebné práce. Pracovníci zhotoviteľa pokračovali v búraní siporexových stien a v montáži </w:t>
            </w:r>
            <w:proofErr w:type="spellStart"/>
            <w:r w:rsidR="00304691">
              <w:t>kari</w:t>
            </w:r>
            <w:proofErr w:type="spellEnd"/>
            <w:r w:rsidR="00304691">
              <w:t xml:space="preserve"> sieti na 2. a 3. NP. Dňa 6.11.2015 bola dokončená montáž oceľovej konštrukcie o čom statik urobil záznam do stavebného denníka. Následne boli odštartované práce na montáži oceľovej nosnej konštrukcie RUUKI</w:t>
            </w:r>
            <w:r w:rsidR="005E5F8B">
              <w:t xml:space="preserve">, </w:t>
            </w:r>
            <w:r w:rsidR="00304691">
              <w:t>armovaní stropu</w:t>
            </w:r>
            <w:r w:rsidR="00677A87">
              <w:t xml:space="preserve">, </w:t>
            </w:r>
            <w:r w:rsidR="005E5F8B">
              <w:t>montáži okien</w:t>
            </w:r>
            <w:r w:rsidR="00F3203C">
              <w:t xml:space="preserve">, </w:t>
            </w:r>
            <w:proofErr w:type="spellStart"/>
            <w:r w:rsidR="00F3203C">
              <w:t>zasklenných</w:t>
            </w:r>
            <w:proofErr w:type="spellEnd"/>
            <w:r w:rsidR="00F3203C">
              <w:t xml:space="preserve"> stien, izolácie </w:t>
            </w:r>
            <w:r w:rsidR="00677A87">
              <w:t>a betónovaní stropov</w:t>
            </w:r>
            <w:r w:rsidR="005E5F8B">
              <w:t xml:space="preserve">. Priebežne prebiehala demontáž </w:t>
            </w:r>
            <w:proofErr w:type="spellStart"/>
            <w:r w:rsidR="005E5F8B">
              <w:t>boletických</w:t>
            </w:r>
            <w:proofErr w:type="spellEnd"/>
            <w:r w:rsidR="005E5F8B">
              <w:t xml:space="preserve"> panelov a rozširovanie lešenia. </w:t>
            </w:r>
            <w:r w:rsidR="00F3203C">
              <w:t xml:space="preserve">Pokračovali práce na montáži kúrenia na 1PP. Ďalej bola realizovaná montáž </w:t>
            </w:r>
            <w:proofErr w:type="spellStart"/>
            <w:r w:rsidR="00F3203C">
              <w:t>paropriepustnej</w:t>
            </w:r>
            <w:proofErr w:type="spellEnd"/>
            <w:r w:rsidR="00F3203C">
              <w:t xml:space="preserve"> fólie, montáž rastra a montáž dosiek </w:t>
            </w:r>
            <w:proofErr w:type="spellStart"/>
            <w:r w:rsidR="00F3203C">
              <w:t>Swisspearl</w:t>
            </w:r>
            <w:proofErr w:type="spellEnd"/>
            <w:r w:rsidR="00F3203C">
              <w:t xml:space="preserve">. </w:t>
            </w:r>
          </w:p>
          <w:p w:rsidR="00CA3EAC" w:rsidRDefault="00CA3EAC" w:rsidP="00CA3EAC"/>
          <w:p w:rsidR="00CA3EAC" w:rsidRDefault="00CA3EAC" w:rsidP="00CA3EAC">
            <w:r>
              <w:rPr>
                <w:u w:val="single"/>
              </w:rPr>
              <w:t>Súčasný stav verejného obstarávania:</w:t>
            </w:r>
            <w:r>
              <w:t xml:space="preserve"> VO je ukončené.</w:t>
            </w:r>
          </w:p>
          <w:p w:rsidR="00CA3EAC" w:rsidRDefault="00CA3EAC" w:rsidP="00CA3EAC"/>
          <w:p w:rsidR="00CA3EAC" w:rsidRDefault="00CA3EAC" w:rsidP="00CA3EAC">
            <w:r>
              <w:rPr>
                <w:u w:val="single"/>
              </w:rPr>
              <w:t>Pokrok v stavebných činnostiach:</w:t>
            </w:r>
            <w:r>
              <w:t xml:space="preserve"> Pokračuje realizácia stavebných činností. Presnejší popis je v časti „Vecný pokrok“ vyššie.</w:t>
            </w:r>
          </w:p>
          <w:p w:rsidR="00CA3EAC" w:rsidRDefault="00CA3EAC" w:rsidP="00CA3EAC">
            <w:pPr>
              <w:rPr>
                <w:u w:val="single"/>
              </w:rPr>
            </w:pPr>
          </w:p>
          <w:p w:rsidR="00CA3EAC" w:rsidRDefault="00CA3EAC" w:rsidP="00CA3EA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Rizikové oblasti:</w:t>
            </w:r>
            <w:r>
              <w:t xml:space="preserve"> Nedodržanie harmonogramu prác. Meškanie op</w:t>
            </w:r>
            <w:r w:rsidR="00597AB4">
              <w:t>roti predloženému harmonogramu.</w:t>
            </w:r>
          </w:p>
          <w:p w:rsidR="00CA3EAC" w:rsidRDefault="00CA3EAC" w:rsidP="00CA3EAC"/>
          <w:p w:rsidR="00CA3EAC" w:rsidRDefault="00CA3EAC" w:rsidP="00CA3EAC">
            <w:r>
              <w:rPr>
                <w:u w:val="single"/>
              </w:rPr>
              <w:t>Ak je realizácia aktivít v omeškaní, je potrebné uviesť dôvody omeškania a aké boli prijaté opatrenia:</w:t>
            </w:r>
            <w:r>
              <w:t xml:space="preserve"> Úzka spolupráca medzi zhotoviteľom, stavebným dozorom, projektantom a vedením univerzity.</w:t>
            </w:r>
          </w:p>
          <w:p w:rsidR="00CA3EAC" w:rsidRDefault="00CA3EAC" w:rsidP="00CA3EAC"/>
          <w:p w:rsidR="00755127" w:rsidRDefault="00CA3EAC" w:rsidP="00CA3EAC">
            <w:r>
              <w:t>(Fotodokumentácia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Vecný pokrok v realizácii aktivity:</w:t>
            </w:r>
          </w:p>
          <w:p w:rsidR="00CA3EAC" w:rsidRDefault="00CA3EAC" w:rsidP="00207763">
            <w:r>
              <w:t>V mesiaci október boli dodané zariadenia v celkovej hodnote 4</w:t>
            </w:r>
            <w:r w:rsidR="00207763">
              <w:t>96</w:t>
            </w:r>
            <w:r>
              <w:t> 8</w:t>
            </w:r>
            <w:r w:rsidR="00207763">
              <w:t>9</w:t>
            </w:r>
            <w:r>
              <w:t>2,- €. Išlo o tieto zariadenia: Modernizácia a rozšírenie elektrickej zabezpečovacej signalizácie a</w:t>
            </w:r>
            <w:r w:rsidR="00207763">
              <w:t xml:space="preserve"> prístupového systému A, </w:t>
            </w:r>
            <w:r>
              <w:t>Syst</w:t>
            </w:r>
            <w:r w:rsidR="00207763">
              <w:t xml:space="preserve">ém kontroly vstupu (SKV), </w:t>
            </w:r>
            <w:r>
              <w:t>Interné optic</w:t>
            </w:r>
            <w:r w:rsidR="00207763">
              <w:t xml:space="preserve">ké rozvody - trasa </w:t>
            </w:r>
            <w:proofErr w:type="spellStart"/>
            <w:r w:rsidR="00207763">
              <w:t>PA-Šrobárová</w:t>
            </w:r>
            <w:proofErr w:type="spellEnd"/>
            <w:r w:rsidR="00207763">
              <w:t xml:space="preserve">, </w:t>
            </w:r>
            <w:proofErr w:type="spellStart"/>
            <w:r>
              <w:t>Rack</w:t>
            </w:r>
            <w:proofErr w:type="spellEnd"/>
            <w:r>
              <w:t xml:space="preserve"> s</w:t>
            </w:r>
            <w:r w:rsidR="00207763">
              <w:t> </w:t>
            </w:r>
            <w:r>
              <w:t>príslušenstvom</w:t>
            </w:r>
            <w:r w:rsidR="00207763">
              <w:t xml:space="preserve"> </w:t>
            </w:r>
            <w:r>
              <w:t xml:space="preserve">Serv </w:t>
            </w:r>
            <w:proofErr w:type="spellStart"/>
            <w:r>
              <w:t>Atrack</w:t>
            </w:r>
            <w:proofErr w:type="spellEnd"/>
            <w:r>
              <w:t xml:space="preserve"> LC-06 48U</w:t>
            </w:r>
            <w:r w:rsidR="00475A04">
              <w:t xml:space="preserve">, </w:t>
            </w:r>
            <w:r>
              <w:t>Centrálny výp</w:t>
            </w:r>
            <w:r w:rsidR="00475A04">
              <w:t xml:space="preserve">očtový uzol s dátovým úložiskom </w:t>
            </w:r>
            <w:r w:rsidR="00207763">
              <w:t xml:space="preserve">a </w:t>
            </w:r>
            <w:r w:rsidR="00207763" w:rsidRPr="00207763">
              <w:t>Zvukotesná komora</w:t>
            </w:r>
            <w:r w:rsidR="00207763">
              <w:t>.</w:t>
            </w:r>
          </w:p>
          <w:p w:rsidR="00CA3EAC" w:rsidRDefault="00CA3EAC" w:rsidP="00CA3EAC"/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Súčasný stav verejného obstarávania:</w:t>
            </w:r>
            <w:r>
              <w:t xml:space="preserve"> VO je ukončené.</w:t>
            </w:r>
          </w:p>
          <w:p w:rsidR="00CA3EAC" w:rsidRDefault="00CA3EAC" w:rsidP="00CA3EAC"/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Pokrok v dodaní tovarov a služieb:</w:t>
            </w:r>
            <w:r>
              <w:t xml:space="preserve"> Dodané zariadenia v celkovej hodnote </w:t>
            </w:r>
            <w:r w:rsidR="00207763">
              <w:t>496</w:t>
            </w:r>
            <w:r>
              <w:t> </w:t>
            </w:r>
            <w:r w:rsidR="00207763">
              <w:t>892</w:t>
            </w:r>
            <w:r>
              <w:t>,-€.</w:t>
            </w:r>
          </w:p>
          <w:p w:rsidR="00CA3EAC" w:rsidRDefault="00CA3EAC" w:rsidP="00CA3EAC">
            <w:pPr>
              <w:rPr>
                <w:u w:val="single"/>
              </w:rPr>
            </w:pPr>
          </w:p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Rizikové oblasti:</w:t>
            </w:r>
            <w:r>
              <w:t xml:space="preserve"> </w:t>
            </w:r>
            <w:r w:rsidR="00207763">
              <w:t xml:space="preserve">S dodávateľom rokujeme o dodávke softvéru </w:t>
            </w:r>
            <w:proofErr w:type="spellStart"/>
            <w:r w:rsidR="00207763" w:rsidRPr="00207763">
              <w:t>softvéru</w:t>
            </w:r>
            <w:proofErr w:type="spellEnd"/>
            <w:r w:rsidR="00207763" w:rsidRPr="00207763">
              <w:t xml:space="preserve"> IBM SPSS </w:t>
            </w:r>
            <w:proofErr w:type="spellStart"/>
            <w:r w:rsidR="00207763" w:rsidRPr="00207763">
              <w:t>Modeler</w:t>
            </w:r>
            <w:proofErr w:type="spellEnd"/>
            <w:r w:rsidR="00207763" w:rsidRPr="00207763">
              <w:t xml:space="preserve"> Professional (položka 2.1.18.35) a IBM SPSS </w:t>
            </w:r>
            <w:proofErr w:type="spellStart"/>
            <w:r w:rsidR="00207763" w:rsidRPr="00207763">
              <w:t>Statistics</w:t>
            </w:r>
            <w:proofErr w:type="spellEnd"/>
            <w:r w:rsidR="00207763" w:rsidRPr="00207763">
              <w:t xml:space="preserve"> Premium (položka 2.1.18.36)</w:t>
            </w:r>
            <w:r w:rsidR="00F2527A">
              <w:t>. Do ukončenia stavebných prác bude centrálny výpočtový uzol umiestnený v </w:t>
            </w:r>
            <w:proofErr w:type="spellStart"/>
            <w:r w:rsidR="00F2527A">
              <w:t>serverovni</w:t>
            </w:r>
            <w:proofErr w:type="spellEnd"/>
            <w:r w:rsidR="00F2527A">
              <w:t xml:space="preserve"> v budove PF UPJŠ na Park </w:t>
            </w:r>
            <w:proofErr w:type="spellStart"/>
            <w:r w:rsidR="00F2527A">
              <w:t>Angelinum</w:t>
            </w:r>
            <w:proofErr w:type="spellEnd"/>
            <w:r w:rsidR="00F2527A">
              <w:t xml:space="preserve"> 9.</w:t>
            </w:r>
          </w:p>
          <w:p w:rsidR="00CA3EAC" w:rsidRDefault="00CA3EAC" w:rsidP="00CA3EAC"/>
          <w:p w:rsidR="00CA3EAC" w:rsidRDefault="00CA3EAC" w:rsidP="00CA3EAC">
            <w:pPr>
              <w:rPr>
                <w:u w:val="single"/>
              </w:rPr>
            </w:pPr>
            <w:r>
              <w:rPr>
                <w:u w:val="single"/>
              </w:rPr>
              <w:t>Ak je realizácia aktivít v omeškaní, je potrebné uviesť dôvody omeškania a aké boli prijaté opatrenia:</w:t>
            </w:r>
            <w:r>
              <w:t xml:space="preserve"> Aktivita nie je v omeškaní.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</w:t>
            </w:r>
            <w:r w:rsidRPr="006D6EB3">
              <w:lastRenderedPageBreak/>
              <w:t>UNIPOLAB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 xml:space="preserve">k je realizácia aktivít v omeškaní, je potrebné uviesť dôvody omeškania a aké boli </w:t>
            </w:r>
            <w:r w:rsidRPr="00204800">
              <w:rPr>
                <w:u w:val="single"/>
              </w:rPr>
              <w:lastRenderedPageBreak/>
              <w:t>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3.4 Pilotné 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 xml:space="preserve">(doc. Ing.  Ján </w:t>
            </w:r>
            <w:proofErr w:type="spellStart"/>
            <w:r w:rsidRPr="00E12A9A">
              <w:t>Spišák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A20519" w:rsidRDefault="00A20519" w:rsidP="00A20519">
            <w:r>
              <w:t>V sledovanom období neboli vykázané žiadne odpracované hodiny riešiteľov a teda sa nerealizovali žiadne práce na aktivite.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A20519" w:rsidP="00204800">
            <w:pPr>
              <w:rPr>
                <w:u w:val="single"/>
              </w:rPr>
            </w:pPr>
            <w:r>
              <w:t>V sledovanom období neboli vykázané žiadne odpracované hodiny riešiteľov a teda sa nerealizovali žiadne práce na aktivite.</w:t>
            </w:r>
          </w:p>
          <w:p w:rsidR="00A20519" w:rsidRDefault="00A20519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A20519" w:rsidP="005F0BD5">
            <w:r>
              <w:t>V sledovanom období neboli vykázané žiadne odpracované hodiny riešiteľov a teda sa nerealizovali žiadne práce na aktivite.</w:t>
            </w:r>
          </w:p>
          <w:p w:rsidR="00A20519" w:rsidRDefault="00A20519" w:rsidP="005F0BD5"/>
          <w:p w:rsid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A20519" w:rsidRPr="00204800" w:rsidRDefault="00A20519" w:rsidP="00204800">
            <w:pPr>
              <w:rPr>
                <w:u w:val="single"/>
              </w:rPr>
            </w:pPr>
            <w:r>
              <w:t>Oneskorenie realizácie stavby, ktoré má vplyv na inštaláciu obstaraného prístrojového vybavenia a jeho využívania na realizáciu aplikovaného výskumu.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A20519" w:rsidP="005F0BD5">
            <w:r>
              <w:t>Realizácia projektovej aktivity je v súlade s upraveným plánom.</w:t>
            </w:r>
          </w:p>
          <w:p w:rsidR="00A20519" w:rsidRDefault="00A20519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EA150F" w:rsidRDefault="001B08CD" w:rsidP="001B08CD">
            <w:r>
              <w:t>V sledovanom období prebiehali štandardné práce spojené s riadením projektu. V úzkej spolupráci so stavebným dozorom, projektantom a dodávateľom stavebných prác boli riešené otázky týkajúce sa realizácie stavby. Vzhľadom na ďalšiu dodávku IKT zariadení prebiehali činnosti spojené s ich evidenciou, poistením a rozdelením medzi výskumníkov. Zároveň prebiehala komunikácia do vnútra univerzity s cieľom zabezpečiť úspešné ukončenie projektu a čo najplynulejšiu realizáciu stavebných prác.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1B08CD" w:rsidP="00D9793A">
            <w:r>
              <w:t xml:space="preserve">V mesiaci </w:t>
            </w:r>
            <w:r w:rsidR="00D9793A">
              <w:t>november</w:t>
            </w:r>
            <w:r>
              <w:t xml:space="preserve"> neboli realizované žiadne aktivity týkajúce sa publicity.</w:t>
            </w:r>
          </w:p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8E6CB6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3272E8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8E6CB6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763AA8" w:rsidTr="003272E8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</w:tcPr>
          <w:p w:rsidR="00763AA8" w:rsidRDefault="00AC1B37" w:rsidP="008E6CB6">
            <w:r w:rsidRPr="00AC1B37">
              <w:t>4028,78</w:t>
            </w:r>
          </w:p>
        </w:tc>
        <w:tc>
          <w:tcPr>
            <w:tcW w:w="2835" w:type="dxa"/>
          </w:tcPr>
          <w:p w:rsidR="00763AA8" w:rsidRDefault="00AC1B37" w:rsidP="008E6CB6">
            <w:r w:rsidRPr="00AC1B37">
              <w:t>13 162,42</w:t>
            </w:r>
          </w:p>
        </w:tc>
        <w:tc>
          <w:tcPr>
            <w:tcW w:w="2977" w:type="dxa"/>
          </w:tcPr>
          <w:p w:rsidR="00763AA8" w:rsidRDefault="00763AA8" w:rsidP="008E6CB6"/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Default="00AC1B37" w:rsidP="00AC1B37">
            <w:r w:rsidRPr="006D6EB3">
              <w:t xml:space="preserve">Aktivita 1.2 Metodická, odborná a realizačná podpora riešenia </w:t>
            </w:r>
            <w:r w:rsidRPr="006D6EB3">
              <w:lastRenderedPageBreak/>
              <w:t>predkladaného projektu</w:t>
            </w:r>
          </w:p>
        </w:tc>
        <w:tc>
          <w:tcPr>
            <w:tcW w:w="2833" w:type="dxa"/>
          </w:tcPr>
          <w:p w:rsidR="00AC1B37" w:rsidRPr="00190501" w:rsidRDefault="00AC1B37" w:rsidP="00AC1B37">
            <w:r w:rsidRPr="00190501">
              <w:lastRenderedPageBreak/>
              <w:t>4 714,81</w:t>
            </w:r>
          </w:p>
        </w:tc>
        <w:tc>
          <w:tcPr>
            <w:tcW w:w="2835" w:type="dxa"/>
          </w:tcPr>
          <w:p w:rsidR="00AC1B37" w:rsidRDefault="00AC1B37" w:rsidP="00AC1B37">
            <w:r w:rsidRPr="00190501">
              <w:t>8 438,13</w:t>
            </w:r>
          </w:p>
        </w:tc>
        <w:tc>
          <w:tcPr>
            <w:tcW w:w="2977" w:type="dxa"/>
          </w:tcPr>
          <w:p w:rsidR="00AC1B37" w:rsidRDefault="00AC1B37" w:rsidP="00AC1B37"/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Default="00AC1B37" w:rsidP="00AC1B37">
            <w:r w:rsidRPr="006D6EB3">
              <w:lastRenderedPageBreak/>
              <w:t>Aktivita 1.3 Príprava a zabezpečenie služieb pre udržateľný chod UVP TECHNICOM</w:t>
            </w:r>
          </w:p>
        </w:tc>
        <w:tc>
          <w:tcPr>
            <w:tcW w:w="2833" w:type="dxa"/>
          </w:tcPr>
          <w:p w:rsidR="00AC1B37" w:rsidRPr="0073417A" w:rsidRDefault="00AC1B37" w:rsidP="00AC1B37">
            <w:r w:rsidRPr="0073417A">
              <w:t>8 585,16</w:t>
            </w:r>
          </w:p>
        </w:tc>
        <w:tc>
          <w:tcPr>
            <w:tcW w:w="2835" w:type="dxa"/>
          </w:tcPr>
          <w:p w:rsidR="00AC1B37" w:rsidRDefault="00AC1B37" w:rsidP="00AC1B37">
            <w:r w:rsidRPr="0073417A">
              <w:t>10 038,11</w:t>
            </w:r>
          </w:p>
        </w:tc>
        <w:tc>
          <w:tcPr>
            <w:tcW w:w="2977" w:type="dxa"/>
          </w:tcPr>
          <w:p w:rsidR="00AC1B37" w:rsidRDefault="00AC1B37" w:rsidP="00AC1B37"/>
        </w:tc>
      </w:tr>
      <w:tr w:rsidR="00763AA8" w:rsidTr="003272E8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</w:tcPr>
          <w:p w:rsidR="00763AA8" w:rsidRDefault="00763AA8" w:rsidP="008E6CB6"/>
          <w:p w:rsidR="00763AA8" w:rsidRDefault="00763AA8" w:rsidP="008E6CB6"/>
        </w:tc>
        <w:tc>
          <w:tcPr>
            <w:tcW w:w="2835" w:type="dxa"/>
          </w:tcPr>
          <w:p w:rsidR="00763AA8" w:rsidRDefault="00763AA8" w:rsidP="008E6CB6"/>
        </w:tc>
        <w:tc>
          <w:tcPr>
            <w:tcW w:w="2977" w:type="dxa"/>
          </w:tcPr>
          <w:p w:rsidR="00763AA8" w:rsidRDefault="00763AA8" w:rsidP="008E6CB6"/>
        </w:tc>
      </w:tr>
      <w:tr w:rsidR="00763AA8" w:rsidTr="003272E8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8E6CB6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</w:tcPr>
          <w:p w:rsidR="00763AA8" w:rsidRDefault="00763AA8" w:rsidP="008E6CB6"/>
          <w:p w:rsidR="00763AA8" w:rsidRDefault="00763AA8" w:rsidP="008E6CB6"/>
        </w:tc>
        <w:tc>
          <w:tcPr>
            <w:tcW w:w="2835" w:type="dxa"/>
          </w:tcPr>
          <w:p w:rsidR="00763AA8" w:rsidRDefault="00763AA8" w:rsidP="008E6CB6"/>
        </w:tc>
        <w:tc>
          <w:tcPr>
            <w:tcW w:w="2977" w:type="dxa"/>
          </w:tcPr>
          <w:p w:rsidR="00763AA8" w:rsidRDefault="00763AA8" w:rsidP="008E6CB6"/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Default="00AC1B37" w:rsidP="00AC1B37">
            <w:r w:rsidRPr="006D6EB3">
              <w:t>Aktivita 2.3 Nadstavba, zateplenie a modernizácia časti UVP TECHNICOM na Jesennej 5 v Košiciach</w:t>
            </w:r>
          </w:p>
        </w:tc>
        <w:tc>
          <w:tcPr>
            <w:tcW w:w="2833" w:type="dxa"/>
          </w:tcPr>
          <w:p w:rsidR="00AC1B37" w:rsidRPr="005D66BC" w:rsidRDefault="00AC1B37" w:rsidP="00AC1B37">
            <w:r w:rsidRPr="005D66BC">
              <w:t>167 369,75</w:t>
            </w:r>
          </w:p>
        </w:tc>
        <w:tc>
          <w:tcPr>
            <w:tcW w:w="2835" w:type="dxa"/>
          </w:tcPr>
          <w:p w:rsidR="00AC1B37" w:rsidRDefault="00AC1B37" w:rsidP="00AC1B37">
            <w:r w:rsidRPr="005D66BC">
              <w:t>582 202,31</w:t>
            </w:r>
          </w:p>
        </w:tc>
        <w:tc>
          <w:tcPr>
            <w:tcW w:w="2977" w:type="dxa"/>
          </w:tcPr>
          <w:p w:rsidR="00AC1B37" w:rsidRDefault="00AC1B37" w:rsidP="00AC1B37"/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Default="00AC1B37" w:rsidP="00AC1B37">
            <w:r w:rsidRPr="006D6EB3">
              <w:t>Aktivita 2.4  Vybavenie UVP TECHNICOM Jesenná 5 infraštruktúrou potrebnou k realizácii aplikovaného výskumu</w:t>
            </w:r>
          </w:p>
        </w:tc>
        <w:tc>
          <w:tcPr>
            <w:tcW w:w="2833" w:type="dxa"/>
          </w:tcPr>
          <w:p w:rsidR="00AC1B37" w:rsidRPr="00ED060A" w:rsidRDefault="00AC1B37" w:rsidP="00AC1B37">
            <w:r w:rsidRPr="00ED060A">
              <w:t>1 969 125,80</w:t>
            </w:r>
          </w:p>
        </w:tc>
        <w:tc>
          <w:tcPr>
            <w:tcW w:w="2835" w:type="dxa"/>
          </w:tcPr>
          <w:p w:rsidR="00AC1B37" w:rsidRDefault="00AC1B37" w:rsidP="00AC1B37">
            <w:r w:rsidRPr="00ED060A">
              <w:t>205 313,65</w:t>
            </w:r>
          </w:p>
        </w:tc>
        <w:tc>
          <w:tcPr>
            <w:tcW w:w="2977" w:type="dxa"/>
          </w:tcPr>
          <w:p w:rsidR="00AC1B37" w:rsidRDefault="00AC1B37" w:rsidP="00AC1B37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t xml:space="preserve">Aktivita 2.6  Vybavenie </w:t>
            </w:r>
            <w:r w:rsidRPr="006D6EB3">
              <w:lastRenderedPageBreak/>
              <w:t>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lastRenderedPageBreak/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8E6CB6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8E6CB6">
            <w:r w:rsidRPr="006D6EB3"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AC1B37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AC1B37" w:rsidRPr="006D6EB3" w:rsidRDefault="00AC1B37" w:rsidP="00AC1B37">
            <w:r w:rsidRPr="006D6EB3">
              <w:t>Aktivita 3.6.  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1B37" w:rsidRPr="00394CA5" w:rsidRDefault="00AC1B37" w:rsidP="00AC1B37">
            <w:r w:rsidRPr="00394CA5">
              <w:t>748 252,57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B37" w:rsidRDefault="00AC1B37" w:rsidP="00AC1B37">
            <w:r w:rsidRPr="00394CA5">
              <w:t>370 993,50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1B37" w:rsidRDefault="00AC1B37" w:rsidP="00AC1B37"/>
        </w:tc>
      </w:tr>
      <w:tr w:rsidR="00763AA8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8E6CB6">
            <w:r w:rsidRPr="006D6EB3"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835" w:type="dxa"/>
            <w:tcBorders>
              <w:bottom w:val="single" w:sz="4" w:space="0" w:color="auto"/>
            </w:tcBorders>
          </w:tcPr>
          <w:p w:rsidR="00763AA8" w:rsidRDefault="00763AA8" w:rsidP="008E6CB6"/>
        </w:tc>
        <w:tc>
          <w:tcPr>
            <w:tcW w:w="2977" w:type="dxa"/>
            <w:tcBorders>
              <w:bottom w:val="single" w:sz="4" w:space="0" w:color="auto"/>
            </w:tcBorders>
          </w:tcPr>
          <w:p w:rsidR="00763AA8" w:rsidRDefault="00763AA8" w:rsidP="008E6CB6"/>
        </w:tc>
      </w:tr>
      <w:tr w:rsidR="00AC1B37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AC1B37" w:rsidRPr="00430090" w:rsidRDefault="00AC1B37" w:rsidP="00AC1B37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AC1B37" w:rsidRPr="00430B7A" w:rsidRDefault="00AC1B37" w:rsidP="00AC1B37">
            <w:pPr>
              <w:rPr>
                <w:b/>
              </w:rPr>
            </w:pPr>
            <w:r w:rsidRPr="00430B7A">
              <w:rPr>
                <w:b/>
              </w:rPr>
              <w:t>2 902 076,87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C1B37" w:rsidRPr="00430B7A" w:rsidRDefault="00AC1B37" w:rsidP="00AC1B37">
            <w:pPr>
              <w:rPr>
                <w:b/>
              </w:rPr>
            </w:pPr>
            <w:r w:rsidRPr="00430B7A">
              <w:rPr>
                <w:b/>
              </w:rPr>
              <w:t>1 190 148,12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1B37" w:rsidRDefault="00AC1B37" w:rsidP="00AC1B37"/>
        </w:tc>
      </w:tr>
      <w:tr w:rsidR="004B4C86" w:rsidRPr="0065201F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bottom"/>
          </w:tcPr>
          <w:p w:rsidR="004B4C86" w:rsidRPr="0065201F" w:rsidRDefault="004B4C86" w:rsidP="008E6CB6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Default="00AC1B37" w:rsidP="00AC1B37">
            <w:r>
              <w:t>Riadenie projektu</w:t>
            </w:r>
          </w:p>
        </w:tc>
        <w:tc>
          <w:tcPr>
            <w:tcW w:w="2833" w:type="dxa"/>
          </w:tcPr>
          <w:p w:rsidR="00AC1B37" w:rsidRPr="00D8779A" w:rsidRDefault="00AC1B37" w:rsidP="00AC1B37">
            <w:r w:rsidRPr="00D8779A">
              <w:t>95 522,69</w:t>
            </w:r>
          </w:p>
        </w:tc>
        <w:tc>
          <w:tcPr>
            <w:tcW w:w="2835" w:type="dxa"/>
          </w:tcPr>
          <w:p w:rsidR="00AC1B37" w:rsidRDefault="00AC1B37" w:rsidP="00AC1B37">
            <w:r w:rsidRPr="00D8779A">
              <w:t>64 696,14</w:t>
            </w:r>
          </w:p>
        </w:tc>
        <w:tc>
          <w:tcPr>
            <w:tcW w:w="2977" w:type="dxa"/>
          </w:tcPr>
          <w:p w:rsidR="00AC1B37" w:rsidRDefault="00AC1B37" w:rsidP="00AC1B37"/>
        </w:tc>
      </w:tr>
      <w:tr w:rsidR="00AC1B37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AC1B37" w:rsidRDefault="00AC1B37" w:rsidP="00AC1B37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1B37" w:rsidRPr="005A46C9" w:rsidRDefault="00AC1B37" w:rsidP="00AC1B37">
            <w:r w:rsidRPr="005A46C9">
              <w:t>8 106,42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B37" w:rsidRDefault="00AC1B37" w:rsidP="00AC1B37">
            <w:r w:rsidRPr="005A46C9">
              <w:t>1 553,07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1B37" w:rsidRDefault="00AC1B37" w:rsidP="00AC1B37"/>
        </w:tc>
      </w:tr>
      <w:tr w:rsidR="00AC1B37" w:rsidTr="003272E8">
        <w:tc>
          <w:tcPr>
            <w:tcW w:w="1845" w:type="dxa"/>
            <w:shd w:val="clear" w:color="auto" w:fill="9BD4F9" w:themeFill="background2" w:themeFillShade="E6"/>
          </w:tcPr>
          <w:p w:rsidR="00AC1B37" w:rsidRPr="00430090" w:rsidRDefault="00AC1B37" w:rsidP="00AC1B37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</w:tcPr>
          <w:p w:rsidR="00AC1B37" w:rsidRPr="00430B7A" w:rsidRDefault="00AC1B37" w:rsidP="00AC1B37">
            <w:pPr>
              <w:rPr>
                <w:b/>
              </w:rPr>
            </w:pPr>
            <w:r w:rsidRPr="00430B7A">
              <w:rPr>
                <w:b/>
              </w:rPr>
              <w:t>103 629,11</w:t>
            </w:r>
          </w:p>
        </w:tc>
        <w:tc>
          <w:tcPr>
            <w:tcW w:w="2835" w:type="dxa"/>
            <w:shd w:val="clear" w:color="auto" w:fill="auto"/>
          </w:tcPr>
          <w:p w:rsidR="00AC1B37" w:rsidRPr="00430B7A" w:rsidRDefault="00AC1B37" w:rsidP="00AC1B37">
            <w:pPr>
              <w:rPr>
                <w:b/>
              </w:rPr>
            </w:pPr>
            <w:r w:rsidRPr="00430B7A">
              <w:rPr>
                <w:b/>
              </w:rPr>
              <w:t>66 249,21</w:t>
            </w:r>
          </w:p>
        </w:tc>
        <w:tc>
          <w:tcPr>
            <w:tcW w:w="2977" w:type="dxa"/>
          </w:tcPr>
          <w:p w:rsidR="00AC1B37" w:rsidRDefault="00AC1B37" w:rsidP="00AC1B37"/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8E6CB6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Rozpočet projektu podľa skupín výdavkov</w:t>
            </w:r>
          </w:p>
        </w:tc>
      </w:tr>
      <w:tr w:rsidR="00680FE9" w:rsidRPr="00E156FE" w:rsidTr="008E6CB6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8E6CB6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8E6CB6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8E6CB6">
            <w:pPr>
              <w:jc w:val="center"/>
              <w:rPr>
                <w:rFonts w:cs="Arial"/>
                <w:b/>
              </w:rPr>
            </w:pP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>
              <w:t>610620 osobné náklady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77D6E" w:rsidRPr="00932F61" w:rsidRDefault="00077D6E" w:rsidP="00077D6E">
            <w:pPr>
              <w:jc w:val="right"/>
            </w:pPr>
            <w:r w:rsidRPr="00932F61">
              <w:t>1 217 749,80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77D6E" w:rsidRDefault="005436F1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436F1">
              <w:rPr>
                <w:rFonts w:ascii="Calibri" w:hAnsi="Calibri"/>
                <w:color w:val="000000"/>
              </w:rPr>
              <w:t>902 698,57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77D6E" w:rsidRDefault="005436F1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436F1">
              <w:rPr>
                <w:rFonts w:ascii="Calibri" w:hAnsi="Calibri"/>
                <w:color w:val="000000"/>
              </w:rPr>
              <w:t>867 933,46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77D6E" w:rsidRDefault="005436F1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436F1">
              <w:rPr>
                <w:rFonts w:ascii="Calibri" w:hAnsi="Calibri"/>
                <w:color w:val="000000"/>
              </w:rPr>
              <w:t>840 393,09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E141E3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69,01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>
              <w:t>631001 Tuzemské cestovné náklady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932F61" w:rsidRDefault="00077D6E" w:rsidP="00077D6E">
            <w:pPr>
              <w:jc w:val="right"/>
            </w:pPr>
            <w:r w:rsidRPr="00932F61">
              <w:t>7 600,00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D05985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D05985"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D05985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D05985"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D05985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D05985"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D05985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27,95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>
              <w:t>631002 Zahraničné cestovné náhrady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932F61" w:rsidRDefault="00077D6E" w:rsidP="00077D6E">
            <w:pPr>
              <w:jc w:val="right"/>
            </w:pPr>
            <w:r w:rsidRPr="00932F61">
              <w:t>99 000,00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5D65A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D65A3">
              <w:rPr>
                <w:rFonts w:ascii="Calibri" w:hAnsi="Calibri"/>
                <w:color w:val="000000"/>
              </w:rPr>
              <w:t>45 570,67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5D65A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D65A3">
              <w:rPr>
                <w:rFonts w:ascii="Calibri" w:hAnsi="Calibri"/>
                <w:color w:val="000000"/>
              </w:rPr>
              <w:t>44 297,42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5D65A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5D65A3">
              <w:rPr>
                <w:rFonts w:ascii="Calibri" w:hAnsi="Calibri"/>
                <w:color w:val="000000"/>
              </w:rPr>
              <w:t>39 846,13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5D65A3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40,25</w:t>
            </w:r>
          </w:p>
        </w:tc>
      </w:tr>
      <w:tr w:rsidR="005D65A3" w:rsidRPr="00E156FE" w:rsidTr="005D65A3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D65A3" w:rsidRPr="00326665" w:rsidRDefault="005D65A3" w:rsidP="005D65A3">
            <w:r w:rsidRPr="00326665">
              <w:t>633001 Materiál - Interiérové vybavenie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D65A3" w:rsidRPr="00932F61" w:rsidRDefault="005D65A3" w:rsidP="005D65A3">
            <w:pPr>
              <w:jc w:val="right"/>
            </w:pPr>
            <w:r w:rsidRPr="00932F61">
              <w:t>84 070,00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D65A3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D65A3" w:rsidRDefault="005D65A3" w:rsidP="005D65A3">
            <w:r w:rsidRPr="00326665">
              <w:lastRenderedPageBreak/>
              <w:t>633002 Materiál Výpočtová technika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D65A3" w:rsidRPr="00932F61" w:rsidRDefault="005D65A3" w:rsidP="005D65A3">
            <w:pPr>
              <w:jc w:val="right"/>
            </w:pPr>
            <w:r w:rsidRPr="00932F61">
              <w:t>48 659,00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A747D2">
              <w:t>48 659,00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A747D2">
              <w:t>48 659,00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A747D2">
              <w:t>48 659,00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>
              <w:t xml:space="preserve">633003 Materiál Telekomunikačná technika </w:t>
            </w:r>
          </w:p>
        </w:tc>
        <w:tc>
          <w:tcPr>
            <w:tcW w:w="739" w:type="pct"/>
            <w:shd w:val="clear" w:color="auto" w:fill="auto"/>
          </w:tcPr>
          <w:p w:rsidR="00077D6E" w:rsidRPr="00932F61" w:rsidRDefault="00077D6E" w:rsidP="00077D6E"/>
        </w:tc>
        <w:tc>
          <w:tcPr>
            <w:tcW w:w="802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D65A3" w:rsidRPr="00E156FE" w:rsidTr="005D65A3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D65A3" w:rsidRPr="00896DFB" w:rsidRDefault="005D65A3" w:rsidP="005D65A3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D65A3" w:rsidRPr="00B7471F" w:rsidRDefault="005D65A3" w:rsidP="005D65A3">
            <w:pPr>
              <w:jc w:val="right"/>
            </w:pPr>
            <w:r w:rsidRPr="00B7471F">
              <w:t>15 819,00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5704B2">
              <w:t>15 819,00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5704B2">
              <w:t>15 819,00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</w:pPr>
            <w:r w:rsidRPr="005704B2">
              <w:t>15 819,00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D65A3" w:rsidRDefault="005D65A3" w:rsidP="005D65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B7471F" w:rsidRDefault="00077D6E" w:rsidP="00077D6E">
            <w:pPr>
              <w:jc w:val="right"/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1192B" w:rsidRPr="00E156FE" w:rsidTr="0011192B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11192B" w:rsidRDefault="0011192B" w:rsidP="0011192B">
            <w:r>
              <w:t xml:space="preserve">633006 Všeobecný materiál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1192B" w:rsidRPr="00B7471F" w:rsidRDefault="0011192B" w:rsidP="0011192B">
            <w:pPr>
              <w:jc w:val="right"/>
            </w:pPr>
            <w:r w:rsidRPr="00B7471F">
              <w:t>22 630,00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11192B" w:rsidRDefault="0011192B" w:rsidP="0011192B">
            <w:pPr>
              <w:jc w:val="center"/>
            </w:pPr>
            <w:r w:rsidRPr="00077A55">
              <w:t>3 434,34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1192B" w:rsidRDefault="0011192B" w:rsidP="0011192B">
            <w:pPr>
              <w:jc w:val="center"/>
            </w:pPr>
            <w:r w:rsidRPr="00077A55">
              <w:t>3 434,34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92B" w:rsidRDefault="0011192B" w:rsidP="0011192B">
            <w:pPr>
              <w:jc w:val="center"/>
            </w:pPr>
            <w:r w:rsidRPr="00077A55">
              <w:t>3 434,34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1192B" w:rsidRDefault="0011192B" w:rsidP="001119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15,18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8E20F2" w:rsidRDefault="00680FE9" w:rsidP="008E6CB6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2FC2" w:rsidRPr="00E156FE" w:rsidTr="00832FC2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32FC2" w:rsidRPr="008E20F2" w:rsidRDefault="00832FC2" w:rsidP="00832FC2">
            <w:r w:rsidRPr="008E20F2">
              <w:t>633013 Materiál Softvér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32FC2" w:rsidRDefault="00832FC2" w:rsidP="00832FC2">
            <w:pPr>
              <w:jc w:val="center"/>
              <w:rPr>
                <w:rFonts w:ascii="Calibri" w:hAnsi="Calibri"/>
                <w:color w:val="000000"/>
              </w:rPr>
            </w:pPr>
            <w:r w:rsidRPr="009C0581">
              <w:t>8 330,00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2FC2" w:rsidRDefault="00832FC2" w:rsidP="00832FC2">
            <w:pPr>
              <w:jc w:val="center"/>
            </w:pPr>
            <w:r w:rsidRPr="00AB2BD7">
              <w:t>6 330,00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32FC2" w:rsidRDefault="00832FC2" w:rsidP="00832FC2">
            <w:pPr>
              <w:jc w:val="center"/>
            </w:pPr>
            <w:r w:rsidRPr="00AB2BD7">
              <w:t>6 330,00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32FC2" w:rsidRDefault="00832FC2" w:rsidP="00832FC2">
            <w:pPr>
              <w:jc w:val="center"/>
            </w:pPr>
            <w:r w:rsidRPr="00AB2BD7">
              <w:t>6 330,00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32FC2" w:rsidRDefault="00832FC2" w:rsidP="00832F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75,99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8E6CB6">
            <w:r w:rsidRPr="008E20F2">
              <w:t>633018 Licencie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1129D3" w:rsidRDefault="00680FE9" w:rsidP="008E6CB6">
            <w:r w:rsidRPr="001129D3">
              <w:t>635002 Údržba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1129D3" w:rsidRDefault="00680FE9" w:rsidP="008E6CB6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8E6CB6">
            <w:r w:rsidRPr="001129D3">
              <w:t xml:space="preserve">635009 Údržba </w:t>
            </w:r>
            <w:proofErr w:type="spellStart"/>
            <w:r w:rsidRPr="001129D3">
              <w:t>softwéru</w:t>
            </w:r>
            <w:proofErr w:type="spellEnd"/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Pr="008E0B3B" w:rsidRDefault="00077D6E" w:rsidP="00077D6E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3F31D3" w:rsidRDefault="00077D6E" w:rsidP="00077D6E">
            <w:pPr>
              <w:jc w:val="right"/>
            </w:pPr>
            <w:r w:rsidRPr="003F31D3">
              <w:t>10 000,00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832FC2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32FC2">
              <w:rPr>
                <w:rFonts w:ascii="Calibri" w:hAnsi="Calibri"/>
                <w:color w:val="000000"/>
              </w:rPr>
              <w:t>4 299,54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832FC2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32FC2">
              <w:rPr>
                <w:rFonts w:ascii="Calibri" w:hAnsi="Calibri"/>
                <w:color w:val="000000"/>
              </w:rPr>
              <w:t>3 809,54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832FC2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32FC2">
              <w:rPr>
                <w:rFonts w:ascii="Calibri" w:hAnsi="Calibri"/>
                <w:color w:val="000000"/>
              </w:rPr>
              <w:t>3 117,66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832FC2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31,18</w:t>
            </w: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Pr="008E0B3B" w:rsidRDefault="008E6CB6" w:rsidP="008E6CB6">
            <w:r w:rsidRPr="008E0B3B">
              <w:t>637003 Propagácia, reklama a inzercia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3F31D3" w:rsidRDefault="008E6CB6" w:rsidP="008E6CB6">
            <w:pPr>
              <w:jc w:val="right"/>
            </w:pPr>
            <w:r w:rsidRPr="003F31D3">
              <w:t>8 537,88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7643D8">
              <w:t>8 533,07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7643D8">
              <w:t>8 533,07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7643D8">
              <w:t>8 533,07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99,94</w:t>
            </w: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Default="008E6CB6" w:rsidP="008E6CB6">
            <w:r w:rsidRPr="008E0B3B">
              <w:t>637004 Všeobecné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3F31D3" w:rsidRDefault="008E6CB6" w:rsidP="008E6CB6">
            <w:pPr>
              <w:jc w:val="right"/>
            </w:pPr>
            <w:r w:rsidRPr="003F31D3">
              <w:t>2 500,00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C65EAB">
              <w:t>1 586,21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C65EAB">
              <w:t>1 586,21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C65EAB">
              <w:t>1 586,21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63,45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0659C1" w:rsidRDefault="00680FE9" w:rsidP="008E6CB6">
            <w:r w:rsidRPr="000659C1">
              <w:t>637005 Špeciálne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0659C1" w:rsidRDefault="00680FE9" w:rsidP="008E6CB6">
            <w:r w:rsidRPr="000659C1">
              <w:t>637011 Štúdie, expertízy, posudky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8E6CB6">
            <w:r w:rsidRPr="000659C1">
              <w:t>637012 Poplatky a odvody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Pr="00153502" w:rsidRDefault="00077D6E" w:rsidP="00077D6E">
            <w:r w:rsidRPr="00153502">
              <w:t xml:space="preserve">637015 Poistné iné ako do ZP, SP a </w:t>
            </w:r>
            <w:r w:rsidRPr="00153502">
              <w:lastRenderedPageBreak/>
              <w:t>povinného poistenia vozidla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D85938" w:rsidRDefault="00077D6E" w:rsidP="00077D6E">
            <w:pPr>
              <w:jc w:val="right"/>
            </w:pPr>
            <w:r w:rsidRPr="00D85938">
              <w:lastRenderedPageBreak/>
              <w:t>16 000,00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E6CB6">
              <w:rPr>
                <w:rFonts w:ascii="Calibri" w:hAnsi="Calibri"/>
                <w:color w:val="000000"/>
              </w:rPr>
              <w:t>133,74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E6CB6"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8E6CB6"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Pr="00153502" w:rsidRDefault="00077D6E" w:rsidP="00077D6E">
            <w:r w:rsidRPr="00153502">
              <w:lastRenderedPageBreak/>
              <w:t>637027 Odmeny zamestnancov mimopracovného pomeru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D85938" w:rsidRDefault="00077D6E" w:rsidP="00077D6E">
            <w:pPr>
              <w:jc w:val="right"/>
            </w:pPr>
            <w:r w:rsidRPr="00D85938">
              <w:t>24 500,00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E141E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E141E3">
              <w:rPr>
                <w:rFonts w:ascii="Calibri" w:hAnsi="Calibri"/>
                <w:color w:val="000000"/>
              </w:rPr>
              <w:t>16 904,80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E141E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E141E3">
              <w:rPr>
                <w:rFonts w:ascii="Calibri" w:hAnsi="Calibri"/>
                <w:color w:val="000000"/>
              </w:rPr>
              <w:t>16 133,24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E141E3" w:rsidP="00077D6E">
            <w:pPr>
              <w:jc w:val="center"/>
              <w:rPr>
                <w:rFonts w:ascii="Calibri" w:hAnsi="Calibri"/>
                <w:color w:val="000000"/>
              </w:rPr>
            </w:pPr>
            <w:r w:rsidRPr="00E141E3">
              <w:rPr>
                <w:rFonts w:ascii="Calibri" w:hAnsi="Calibri"/>
                <w:color w:val="000000"/>
              </w:rPr>
              <w:t>15 861,57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E141E3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64,74</w:t>
            </w: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Default="008E6CB6" w:rsidP="008E6CB6">
            <w:r w:rsidRPr="00153502">
              <w:t>711003 Nákup softvéru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D85938" w:rsidRDefault="008E6CB6" w:rsidP="008E6CB6">
            <w:pPr>
              <w:jc w:val="right"/>
            </w:pPr>
            <w:r w:rsidRPr="00D85938">
              <w:t>44 000,00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C79AC">
              <w:t>34 500,00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C79AC">
              <w:t>34 500,00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C79AC">
              <w:t>34 500,00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78,41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94070C" w:rsidRDefault="00680FE9" w:rsidP="008E6CB6">
            <w:r w:rsidRPr="0094070C">
              <w:t>711004 Nákup licencií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94070C" w:rsidRDefault="00680FE9" w:rsidP="008E6CB6">
            <w:r w:rsidRPr="0094070C">
              <w:t>713001 Nákup interiérového vybavenia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Default="008E6CB6" w:rsidP="008E6CB6">
            <w:r w:rsidRPr="0094070C">
              <w:t>713002 Nákup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8F6501" w:rsidRDefault="008E6CB6" w:rsidP="008E6CB6">
            <w:pPr>
              <w:jc w:val="right"/>
            </w:pPr>
            <w:r w:rsidRPr="008F6501">
              <w:t>925 094,00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3058D">
              <w:t>925 094,00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3058D">
              <w:t>925 094,00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3058D">
              <w:t>925 094,00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 w:rsidRPr="00A02D4C">
              <w:t>713003 Nákup telekomunikačnej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8F6501" w:rsidRDefault="00077D6E" w:rsidP="00077D6E">
            <w:pPr>
              <w:jc w:val="right"/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077D6E" w:rsidP="00077D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Pr="00F47E8E" w:rsidRDefault="008E6CB6" w:rsidP="008E6CB6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8F6501" w:rsidRDefault="008E6CB6" w:rsidP="008E6CB6">
            <w:pPr>
              <w:jc w:val="right"/>
            </w:pPr>
            <w:r w:rsidRPr="008F6501">
              <w:t>1 078 099,63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944F5C">
              <w:t>957 550,00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944F5C">
              <w:t>957 550,00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944F5C">
              <w:t>957 550,00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88,82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F47E8E" w:rsidRDefault="00680FE9" w:rsidP="008E6CB6">
            <w:r w:rsidRPr="00F47E8E">
              <w:t>713005 Nákup špeciálnych strojov, prístrojov, zariadení, techniky, náradia a materiálu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Default="008E6CB6" w:rsidP="008E6CB6">
            <w:r w:rsidRPr="00F47E8E">
              <w:t>713006 Nákup komunikačnej infraštruktúry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282634" w:rsidRDefault="008E6CB6" w:rsidP="008E6CB6">
            <w:pPr>
              <w:jc w:val="right"/>
            </w:pPr>
            <w:r w:rsidRPr="00282634">
              <w:t>76 000,00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A64565">
              <w:t>76 000,00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A64565">
              <w:t>76 000,00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A64565">
              <w:t>76 000,00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61BDC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61BDC" w:rsidRPr="003A20D3" w:rsidRDefault="00361BDC" w:rsidP="00361BDC">
            <w:r w:rsidRPr="003A20D3">
              <w:t>716 Prípravná a projektová dokumentácia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61BDC" w:rsidRPr="00282634" w:rsidRDefault="00361BDC" w:rsidP="00361BDC">
            <w:pPr>
              <w:jc w:val="right"/>
            </w:pPr>
            <w:r w:rsidRPr="00282634">
              <w:t>34 780,00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61BDC" w:rsidRPr="00282634" w:rsidRDefault="00361BDC" w:rsidP="00361BDC">
            <w:pPr>
              <w:jc w:val="right"/>
            </w:pPr>
            <w:r w:rsidRPr="00282634">
              <w:t>26 400,00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61BDC" w:rsidRPr="00282634" w:rsidRDefault="00361BDC" w:rsidP="00361BDC">
            <w:pPr>
              <w:jc w:val="right"/>
            </w:pPr>
            <w:r w:rsidRPr="00282634">
              <w:t>26 400,00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61BDC" w:rsidRPr="00282634" w:rsidRDefault="00361BDC" w:rsidP="00361BDC">
            <w:pPr>
              <w:jc w:val="right"/>
            </w:pPr>
            <w:r w:rsidRPr="00282634">
              <w:t>krátené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61BDC" w:rsidRDefault="00361BDC" w:rsidP="00361B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3A20D3" w:rsidRDefault="00680FE9" w:rsidP="008E6CB6">
            <w:r w:rsidRPr="003A20D3">
              <w:t>717001 Realizácia nových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8E6CB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Default="008E6CB6" w:rsidP="008E6CB6">
            <w:r w:rsidRPr="003A20D3">
              <w:t>717002 Rekonštrukcia a modernizácia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EB3D30" w:rsidRDefault="008E6CB6" w:rsidP="008E6CB6">
            <w:pPr>
              <w:jc w:val="right"/>
            </w:pPr>
            <w:r w:rsidRPr="00EB3D30">
              <w:t>628 942,53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76DE2">
              <w:t>107 970,68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76DE2">
              <w:t>107 970,68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D76DE2">
              <w:t>107 970,68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17,17</w:t>
            </w:r>
          </w:p>
        </w:tc>
      </w:tr>
      <w:tr w:rsidR="008E6CB6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8E6CB6" w:rsidRPr="00542E66" w:rsidRDefault="008E6CB6" w:rsidP="008E6CB6">
            <w:r w:rsidRPr="00542E66">
              <w:t>717003 Prístavby, nadstavby, stavebné úpravy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E6CB6" w:rsidRPr="00EB3D30" w:rsidRDefault="008E6CB6" w:rsidP="008E6CB6">
            <w:pPr>
              <w:jc w:val="right"/>
            </w:pPr>
            <w:r w:rsidRPr="00EB3D30">
              <w:t>125 300,69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03406">
              <w:t>68 208,00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03406">
              <w:t>68 208,00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</w:pPr>
            <w:r w:rsidRPr="00503406">
              <w:t>68 208,00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6CB6" w:rsidRDefault="008E6CB6" w:rsidP="008E6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54,44</w:t>
            </w:r>
          </w:p>
        </w:tc>
      </w:tr>
      <w:tr w:rsidR="00077D6E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77D6E" w:rsidRDefault="00077D6E" w:rsidP="00077D6E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77D6E" w:rsidRPr="00EB3D30" w:rsidRDefault="00077D6E" w:rsidP="00077D6E">
            <w:pPr>
              <w:jc w:val="right"/>
            </w:pPr>
            <w:r w:rsidRPr="00EB3D30">
              <w:t>8 812,00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77D6E" w:rsidRDefault="008E6CB6" w:rsidP="00077D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CC4F9B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CC4F9B" w:rsidRPr="00E3587A" w:rsidRDefault="00CC4F9B" w:rsidP="00CC4F9B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C4F9B" w:rsidRPr="00CC4F9B" w:rsidRDefault="00CC4F9B" w:rsidP="00CC4F9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4F9B">
              <w:rPr>
                <w:b/>
              </w:rPr>
              <w:t>4 486 424,53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C4F9B" w:rsidRPr="00CC4F9B" w:rsidRDefault="00CC4F9B" w:rsidP="00CC4F9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C4F9B">
              <w:rPr>
                <w:rFonts w:ascii="Calibri" w:hAnsi="Calibri"/>
                <w:b/>
                <w:bCs/>
                <w:color w:val="000000"/>
              </w:rPr>
              <w:t>3 234 228,14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CC4F9B" w:rsidRPr="00CC4F9B" w:rsidRDefault="00CC4F9B" w:rsidP="00CC4F9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C4F9B">
              <w:rPr>
                <w:rFonts w:ascii="Calibri" w:hAnsi="Calibri"/>
                <w:b/>
                <w:bCs/>
                <w:color w:val="000000"/>
              </w:rPr>
              <w:t>3 196 856,23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CC4F9B" w:rsidRPr="00CC4F9B" w:rsidRDefault="00CC4F9B" w:rsidP="00CC4F9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C4F9B">
              <w:rPr>
                <w:rFonts w:ascii="Calibri" w:hAnsi="Calibri"/>
                <w:b/>
                <w:bCs/>
                <w:color w:val="000000"/>
              </w:rPr>
              <w:t>3 163 901,02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C4F9B" w:rsidRPr="00CC4F9B" w:rsidRDefault="00CC4F9B" w:rsidP="00CC4F9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4F9B">
              <w:rPr>
                <w:rFonts w:ascii="Calibri" w:hAnsi="Calibri"/>
                <w:b/>
                <w:color w:val="000000"/>
              </w:rPr>
              <w:t>70,52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8E6CB6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680FE9" w:rsidRPr="00E3587A" w:rsidRDefault="00680FE9" w:rsidP="008E6CB6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680FE9" w:rsidRPr="00E3587A" w:rsidRDefault="00680FE9" w:rsidP="008E6CB6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680FE9" w:rsidRPr="00E3587A" w:rsidRDefault="00680FE9" w:rsidP="008E6CB6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680FE9" w:rsidRPr="00E3587A" w:rsidRDefault="00680FE9" w:rsidP="008E6CB6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680FE9" w:rsidRPr="00E3587A" w:rsidRDefault="00680FE9" w:rsidP="008E6CB6">
            <w:pPr>
              <w:jc w:val="right"/>
              <w:rPr>
                <w:rFonts w:cs="Arial"/>
              </w:rPr>
            </w:pPr>
          </w:p>
        </w:tc>
      </w:tr>
      <w:tr w:rsidR="00680FE9" w:rsidRPr="00E156FE" w:rsidTr="008E6CB6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8E6CB6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680FE9" w:rsidRPr="00E156FE" w:rsidTr="008E6CB6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8E6CB6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680FE9" w:rsidRPr="00E3587A" w:rsidRDefault="00680FE9" w:rsidP="008E6CB6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C322BA" w:rsidRPr="00C65A6F" w:rsidRDefault="00C322BA" w:rsidP="005F0BD5"/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2859A0" w:rsidRPr="00C65A6F" w:rsidTr="009D0F9E">
        <w:trPr>
          <w:jc w:val="center"/>
        </w:trPr>
        <w:tc>
          <w:tcPr>
            <w:tcW w:w="8568" w:type="dxa"/>
            <w:gridSpan w:val="2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458"/>
              <w:gridCol w:w="3894"/>
            </w:tblGrid>
            <w:tr w:rsidR="002859A0" w:rsidRPr="002877FE" w:rsidTr="009D0F9E">
              <w:trPr>
                <w:jc w:val="center"/>
              </w:trPr>
              <w:tc>
                <w:tcPr>
                  <w:tcW w:w="8568" w:type="dxa"/>
                  <w:gridSpan w:val="2"/>
                </w:tcPr>
                <w:p w:rsidR="002859A0" w:rsidRPr="002877FE" w:rsidRDefault="002859A0" w:rsidP="009D0F9E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  <w:r w:rsidRPr="002877FE">
                    <w:rPr>
                      <w:rFonts w:cs="Arial"/>
                      <w:b/>
                      <w:bCs/>
                      <w:u w:val="single"/>
                    </w:rPr>
                    <w:t>Vypracoval:</w:t>
                  </w:r>
                  <w:r w:rsidRPr="005531A7">
                    <w:rPr>
                      <w:rFonts w:cs="Arial"/>
                      <w:b/>
                      <w:bCs/>
                    </w:rPr>
                    <w:t xml:space="preserve"> RNDr. Jozef Gajdoš, PhD.</w:t>
                  </w:r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</w:tcPr>
                <w:p w:rsidR="002859A0" w:rsidRDefault="002859A0" w:rsidP="009D0F9E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Pozícia zodpovedného pracovníka:</w:t>
                  </w:r>
                </w:p>
                <w:p w:rsidR="002859A0" w:rsidRPr="00C65A6F" w:rsidRDefault="002859A0" w:rsidP="009D0F9E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Dátum vyhotoven</w:t>
                  </w:r>
                  <w:r>
                    <w:rPr>
                      <w:rFonts w:cs="Arial"/>
                    </w:rPr>
                    <w:t>ia: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Default="002859A0" w:rsidP="009D0F9E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Projektový manažér</w:t>
                  </w:r>
                </w:p>
                <w:p w:rsidR="002859A0" w:rsidRDefault="002859A0" w:rsidP="009D0F9E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  <w:p w:rsidR="002859A0" w:rsidRPr="00C65A6F" w:rsidRDefault="002859A0" w:rsidP="002859A0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>.1</w:t>
                  </w:r>
                  <w:r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.201</w:t>
                  </w:r>
                  <w:r>
                    <w:rPr>
                      <w:rFonts w:cs="Arial"/>
                    </w:rPr>
                    <w:t>5</w:t>
                  </w:r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  <w:vAlign w:val="bottom"/>
                </w:tcPr>
                <w:p w:rsidR="002859A0" w:rsidRPr="00C65A6F" w:rsidRDefault="002859A0" w:rsidP="009D0F9E">
                  <w:pPr>
                    <w:spacing w:before="240" w:after="240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Podpis: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Pr="00C65A6F" w:rsidRDefault="002859A0" w:rsidP="009D0F9E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</w:tcPr>
                <w:p w:rsidR="002859A0" w:rsidRDefault="002859A0" w:rsidP="009D0F9E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2859A0" w:rsidRDefault="002859A0" w:rsidP="009D0F9E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2859A0" w:rsidRDefault="002859A0" w:rsidP="009D0F9E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2859A0" w:rsidRPr="005531A7" w:rsidRDefault="002859A0" w:rsidP="009D0F9E">
                  <w:pPr>
                    <w:spacing w:before="20" w:after="20"/>
                    <w:jc w:val="both"/>
                    <w:rPr>
                      <w:rFonts w:cs="Arial"/>
                    </w:rPr>
                  </w:pPr>
                  <w:r w:rsidRPr="002877FE">
                    <w:rPr>
                      <w:rFonts w:cs="Arial"/>
                      <w:b/>
                      <w:bCs/>
                      <w:u w:val="single"/>
                    </w:rPr>
                    <w:t>Schválil:</w:t>
                  </w:r>
                  <w:r>
                    <w:rPr>
                      <w:rFonts w:cs="Arial"/>
                      <w:b/>
                      <w:bCs/>
                    </w:rPr>
                    <w:t xml:space="preserve"> doc. RNDr. Gabriel Semanišin, PhD.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Pr="00C65A6F" w:rsidRDefault="002859A0" w:rsidP="009D0F9E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</w:tcPr>
                <w:p w:rsidR="002859A0" w:rsidRPr="00C65A6F" w:rsidRDefault="002859A0" w:rsidP="009D0F9E">
                  <w:pPr>
                    <w:spacing w:before="60" w:after="60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Pozícia zodpovedného pracovníka: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Pr="00C65A6F" w:rsidRDefault="002859A0" w:rsidP="009D0F9E">
                  <w:pPr>
                    <w:spacing w:before="60" w:after="6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Dekan PF UPJŠ</w:t>
                  </w:r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</w:tcPr>
                <w:p w:rsidR="002859A0" w:rsidRPr="00C65A6F" w:rsidRDefault="002859A0" w:rsidP="009D0F9E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Dátum schválenia: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Pr="00C65A6F" w:rsidRDefault="002859A0" w:rsidP="002859A0">
                  <w:pPr>
                    <w:spacing w:before="120" w:after="1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>.1</w:t>
                  </w:r>
                  <w:r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.201</w:t>
                  </w:r>
                  <w:r>
                    <w:rPr>
                      <w:rFonts w:cs="Arial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2859A0" w:rsidRPr="00C65A6F" w:rsidTr="009D0F9E">
              <w:trPr>
                <w:jc w:val="center"/>
              </w:trPr>
              <w:tc>
                <w:tcPr>
                  <w:tcW w:w="4568" w:type="dxa"/>
                </w:tcPr>
                <w:p w:rsidR="002859A0" w:rsidRPr="00C65A6F" w:rsidRDefault="002859A0" w:rsidP="009D0F9E">
                  <w:pPr>
                    <w:spacing w:before="240" w:after="24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Podpis: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2859A0" w:rsidRPr="00C65A6F" w:rsidRDefault="002859A0" w:rsidP="009D0F9E">
                  <w:pPr>
                    <w:spacing w:before="240" w:after="240"/>
                    <w:ind w:right="-820"/>
                    <w:rPr>
                      <w:rFonts w:cs="Arial"/>
                    </w:rPr>
                  </w:pPr>
                </w:p>
              </w:tc>
            </w:tr>
          </w:tbl>
          <w:p w:rsidR="002859A0" w:rsidRPr="002877FE" w:rsidRDefault="002859A0" w:rsidP="009D0F9E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859A0" w:rsidRPr="00C65A6F" w:rsidTr="009D0F9E">
        <w:trPr>
          <w:jc w:val="center"/>
        </w:trPr>
        <w:tc>
          <w:tcPr>
            <w:tcW w:w="4568" w:type="dxa"/>
          </w:tcPr>
          <w:p w:rsidR="002859A0" w:rsidRPr="00C65A6F" w:rsidRDefault="002859A0" w:rsidP="009D0F9E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2859A0" w:rsidRPr="00C65A6F" w:rsidRDefault="002859A0" w:rsidP="009D0F9E">
            <w:pPr>
              <w:spacing w:before="120" w:after="120"/>
              <w:ind w:right="-820"/>
              <w:rPr>
                <w:rFonts w:cs="Arial"/>
              </w:rPr>
            </w:pPr>
          </w:p>
        </w:tc>
      </w:tr>
      <w:tr w:rsidR="002859A0" w:rsidRPr="00C65A6F" w:rsidTr="009D0F9E">
        <w:trPr>
          <w:jc w:val="center"/>
        </w:trPr>
        <w:tc>
          <w:tcPr>
            <w:tcW w:w="4568" w:type="dxa"/>
          </w:tcPr>
          <w:p w:rsidR="002859A0" w:rsidRPr="00C65A6F" w:rsidRDefault="002859A0" w:rsidP="009D0F9E">
            <w:pPr>
              <w:spacing w:before="240" w:after="240"/>
              <w:jc w:val="both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2859A0" w:rsidRPr="00C65A6F" w:rsidRDefault="002859A0" w:rsidP="009D0F9E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E6" w:rsidRDefault="00A97AE6" w:rsidP="009A7112">
      <w:r>
        <w:separator/>
      </w:r>
    </w:p>
  </w:endnote>
  <w:endnote w:type="continuationSeparator" w:id="0">
    <w:p w:rsidR="00A97AE6" w:rsidRDefault="00A97AE6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EndPr/>
    <w:sdtContent>
      <w:p w:rsidR="00CA3EAC" w:rsidRDefault="00CA3E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A0">
          <w:rPr>
            <w:noProof/>
          </w:rPr>
          <w:t>11</w:t>
        </w:r>
        <w:r>
          <w:fldChar w:fldCharType="end"/>
        </w:r>
      </w:p>
    </w:sdtContent>
  </w:sdt>
  <w:p w:rsidR="00CA3EAC" w:rsidRDefault="00CA3E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E6" w:rsidRDefault="00A97AE6" w:rsidP="009A7112">
      <w:r>
        <w:separator/>
      </w:r>
    </w:p>
  </w:footnote>
  <w:footnote w:type="continuationSeparator" w:id="0">
    <w:p w:rsidR="00A97AE6" w:rsidRDefault="00A97AE6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AC" w:rsidRDefault="00CA3EAC">
    <w:pPr>
      <w:pStyle w:val="Hlavika"/>
    </w:pPr>
    <w:r>
      <w:t>Kód ITMS: 26220220182</w:t>
    </w:r>
  </w:p>
  <w:p w:rsidR="00CA3EAC" w:rsidRDefault="00CA3EAC">
    <w:pPr>
      <w:pStyle w:val="Hlavika"/>
    </w:pPr>
  </w:p>
  <w:p w:rsidR="00CA3EAC" w:rsidRDefault="00CA3EAC">
    <w:pPr>
      <w:pStyle w:val="Hlavika"/>
    </w:pPr>
  </w:p>
  <w:p w:rsidR="00CA3EAC" w:rsidRDefault="00CA3E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5C92"/>
    <w:multiLevelType w:val="hybridMultilevel"/>
    <w:tmpl w:val="A2AE7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77D6E"/>
    <w:rsid w:val="000A205A"/>
    <w:rsid w:val="000A79B4"/>
    <w:rsid w:val="000E7542"/>
    <w:rsid w:val="001019F1"/>
    <w:rsid w:val="0011192B"/>
    <w:rsid w:val="001272BD"/>
    <w:rsid w:val="00147445"/>
    <w:rsid w:val="00176EF5"/>
    <w:rsid w:val="0018056B"/>
    <w:rsid w:val="001846EB"/>
    <w:rsid w:val="001A3961"/>
    <w:rsid w:val="001B08CD"/>
    <w:rsid w:val="001C42BD"/>
    <w:rsid w:val="00204800"/>
    <w:rsid w:val="00206D7D"/>
    <w:rsid w:val="00207763"/>
    <w:rsid w:val="0023192C"/>
    <w:rsid w:val="00243618"/>
    <w:rsid w:val="002454AD"/>
    <w:rsid w:val="002859A0"/>
    <w:rsid w:val="002877FE"/>
    <w:rsid w:val="002A7B27"/>
    <w:rsid w:val="002F7E3A"/>
    <w:rsid w:val="00304691"/>
    <w:rsid w:val="003142EF"/>
    <w:rsid w:val="003272E8"/>
    <w:rsid w:val="00331EFA"/>
    <w:rsid w:val="00361BDC"/>
    <w:rsid w:val="00365918"/>
    <w:rsid w:val="00370C82"/>
    <w:rsid w:val="0039448D"/>
    <w:rsid w:val="003B71E1"/>
    <w:rsid w:val="003D7C31"/>
    <w:rsid w:val="00430090"/>
    <w:rsid w:val="00430B7A"/>
    <w:rsid w:val="00442CAC"/>
    <w:rsid w:val="0045023A"/>
    <w:rsid w:val="00475A04"/>
    <w:rsid w:val="004822D7"/>
    <w:rsid w:val="004B4C86"/>
    <w:rsid w:val="004E4BD7"/>
    <w:rsid w:val="005028DD"/>
    <w:rsid w:val="005436F1"/>
    <w:rsid w:val="00554B04"/>
    <w:rsid w:val="00561E56"/>
    <w:rsid w:val="00597AB4"/>
    <w:rsid w:val="005D65A3"/>
    <w:rsid w:val="005E4400"/>
    <w:rsid w:val="005E5F8B"/>
    <w:rsid w:val="005F0BD5"/>
    <w:rsid w:val="00647E2E"/>
    <w:rsid w:val="0065201F"/>
    <w:rsid w:val="006524C2"/>
    <w:rsid w:val="00677A87"/>
    <w:rsid w:val="00680FE9"/>
    <w:rsid w:val="006D6EB3"/>
    <w:rsid w:val="006E4A8E"/>
    <w:rsid w:val="00717D64"/>
    <w:rsid w:val="00735CA1"/>
    <w:rsid w:val="00737453"/>
    <w:rsid w:val="00743E23"/>
    <w:rsid w:val="007454CC"/>
    <w:rsid w:val="00755127"/>
    <w:rsid w:val="00763AA8"/>
    <w:rsid w:val="007760B0"/>
    <w:rsid w:val="007873BB"/>
    <w:rsid w:val="00797159"/>
    <w:rsid w:val="007C75FF"/>
    <w:rsid w:val="0080026A"/>
    <w:rsid w:val="00814899"/>
    <w:rsid w:val="00832FC2"/>
    <w:rsid w:val="008A54FD"/>
    <w:rsid w:val="008D01A9"/>
    <w:rsid w:val="008E6CB6"/>
    <w:rsid w:val="00906ABA"/>
    <w:rsid w:val="00915F13"/>
    <w:rsid w:val="009262DA"/>
    <w:rsid w:val="0095144A"/>
    <w:rsid w:val="00977814"/>
    <w:rsid w:val="009A7112"/>
    <w:rsid w:val="00A01EAC"/>
    <w:rsid w:val="00A20519"/>
    <w:rsid w:val="00A31337"/>
    <w:rsid w:val="00A363AC"/>
    <w:rsid w:val="00A54851"/>
    <w:rsid w:val="00A6336F"/>
    <w:rsid w:val="00A97AE6"/>
    <w:rsid w:val="00AC1B37"/>
    <w:rsid w:val="00AC67D9"/>
    <w:rsid w:val="00B00827"/>
    <w:rsid w:val="00B53979"/>
    <w:rsid w:val="00BD6D1D"/>
    <w:rsid w:val="00C322BA"/>
    <w:rsid w:val="00C65A6F"/>
    <w:rsid w:val="00C706AA"/>
    <w:rsid w:val="00C7538A"/>
    <w:rsid w:val="00CA3EAC"/>
    <w:rsid w:val="00CB6287"/>
    <w:rsid w:val="00CC4F9B"/>
    <w:rsid w:val="00D001D8"/>
    <w:rsid w:val="00D05985"/>
    <w:rsid w:val="00D069D0"/>
    <w:rsid w:val="00D2047B"/>
    <w:rsid w:val="00D36DD0"/>
    <w:rsid w:val="00D62A6B"/>
    <w:rsid w:val="00D70695"/>
    <w:rsid w:val="00D73AA2"/>
    <w:rsid w:val="00D939DF"/>
    <w:rsid w:val="00D9793A"/>
    <w:rsid w:val="00DB1E9B"/>
    <w:rsid w:val="00DD3B3F"/>
    <w:rsid w:val="00DE13BB"/>
    <w:rsid w:val="00DF7C69"/>
    <w:rsid w:val="00E12A9A"/>
    <w:rsid w:val="00E141E3"/>
    <w:rsid w:val="00E22E36"/>
    <w:rsid w:val="00E3137C"/>
    <w:rsid w:val="00E3587A"/>
    <w:rsid w:val="00E46773"/>
    <w:rsid w:val="00E54AEF"/>
    <w:rsid w:val="00EA150F"/>
    <w:rsid w:val="00EB1451"/>
    <w:rsid w:val="00EF13F2"/>
    <w:rsid w:val="00F10985"/>
    <w:rsid w:val="00F2527A"/>
    <w:rsid w:val="00F3203C"/>
    <w:rsid w:val="00F42BEC"/>
    <w:rsid w:val="00F554C8"/>
    <w:rsid w:val="00F5706A"/>
    <w:rsid w:val="00F62CE5"/>
    <w:rsid w:val="00FA4E2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2481-9AAC-46F7-B1CD-F9FB14A6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2355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9</cp:revision>
  <cp:lastPrinted>2016-01-07T11:03:00Z</cp:lastPrinted>
  <dcterms:created xsi:type="dcterms:W3CDTF">2015-12-10T07:16:00Z</dcterms:created>
  <dcterms:modified xsi:type="dcterms:W3CDTF">2016-01-07T11:03:00Z</dcterms:modified>
</cp:coreProperties>
</file>