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D5" w:rsidRDefault="005F0BD5" w:rsidP="005F0BD5">
      <w:pPr>
        <w:spacing w:before="40" w:after="20"/>
        <w:jc w:val="center"/>
        <w:rPr>
          <w:rFonts w:eastAsiaTheme="minorEastAsia"/>
          <w:noProof/>
          <w:color w:val="1F497D"/>
          <w:lang w:eastAsia="sk-SK"/>
        </w:rPr>
      </w:pPr>
      <w:r>
        <w:rPr>
          <w:rFonts w:eastAsiaTheme="minorEastAsia"/>
          <w:noProof/>
          <w:lang w:eastAsia="sk-SK"/>
        </w:rPr>
        <w:drawing>
          <wp:inline distT="0" distB="0" distL="0" distR="0" wp14:anchorId="15FC9D46" wp14:editId="172A405A">
            <wp:extent cx="942975" cy="800100"/>
            <wp:effectExtent l="0" t="0" r="9525" b="0"/>
            <wp:docPr id="3" name="Obrázok 3" descr="cid:image001.png@01CFAA70.DC100450">
              <a:hlinkClick xmlns:a="http://schemas.openxmlformats.org/drawingml/2006/main" r:id="rId9" tooltip="MŠVVaŠ S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1.png@01CFAA70.DC100450">
                      <a:hlinkClick r:id="rId9" tooltip="MŠVVaŠ S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1F497D"/>
          <w:lang w:eastAsia="sk-SK"/>
        </w:rPr>
        <w:drawing>
          <wp:inline distT="0" distB="0" distL="0" distR="0" wp14:anchorId="6B553A1C" wp14:editId="3FA33A69">
            <wp:extent cx="809625" cy="809625"/>
            <wp:effectExtent l="0" t="0" r="9525" b="9525"/>
            <wp:docPr id="2" name="Obrázok 2">
              <a:hlinkClick xmlns:a="http://schemas.openxmlformats.org/drawingml/2006/main" r:id="rId11" tooltip="OP Výskum a vývoj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>
                      <a:hlinkClick r:id="rId11" tooltip="OP Výskum a vývoj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1F497D"/>
          <w:lang w:eastAsia="sk-SK"/>
        </w:rPr>
        <w:drawing>
          <wp:inline distT="0" distB="0" distL="0" distR="0" wp14:anchorId="69DADF31" wp14:editId="0CB14AF9">
            <wp:extent cx="876300" cy="809625"/>
            <wp:effectExtent l="0" t="0" r="0" b="9525"/>
            <wp:docPr id="1" name="Obrázok 1">
              <a:hlinkClick xmlns:a="http://schemas.openxmlformats.org/drawingml/2006/main" r:id="rId13" tooltip="Európsky fond regionálneho rozvoj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>
                      <a:hlinkClick r:id="rId13" tooltip="Európsky fond regionálneho rozvoja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BD5" w:rsidRDefault="005F0BD5" w:rsidP="005F0BD5">
      <w:pPr>
        <w:jc w:val="center"/>
        <w:rPr>
          <w:rFonts w:eastAsiaTheme="minorEastAsia"/>
          <w:b/>
          <w:bCs/>
          <w:i/>
          <w:iCs/>
          <w:noProof/>
          <w:color w:val="7F7F7F"/>
          <w:sz w:val="20"/>
          <w:szCs w:val="20"/>
          <w:lang w:eastAsia="sk-SK"/>
        </w:rPr>
      </w:pPr>
    </w:p>
    <w:p w:rsidR="00A363AC" w:rsidRDefault="005F0BD5" w:rsidP="005F0BD5">
      <w:pPr>
        <w:jc w:val="center"/>
        <w:rPr>
          <w:rFonts w:eastAsiaTheme="minorEastAsia"/>
          <w:b/>
          <w:bCs/>
          <w:i/>
          <w:iCs/>
          <w:noProof/>
          <w:color w:val="7F7F7F"/>
          <w:sz w:val="20"/>
          <w:szCs w:val="20"/>
          <w:lang w:eastAsia="sk-SK"/>
        </w:rPr>
      </w:pPr>
      <w:r>
        <w:rPr>
          <w:rFonts w:eastAsiaTheme="minorEastAsia"/>
          <w:b/>
          <w:bCs/>
          <w:i/>
          <w:iCs/>
          <w:noProof/>
          <w:color w:val="7F7F7F"/>
          <w:sz w:val="20"/>
          <w:szCs w:val="20"/>
          <w:lang w:eastAsia="sk-SK"/>
        </w:rPr>
        <w:t>Podporujeme výskumné aktivity na Slovensku/Projekt je spolufinancovaný zo zdrojov EÚ</w:t>
      </w:r>
    </w:p>
    <w:p w:rsidR="005F0BD5" w:rsidRDefault="005F0BD5" w:rsidP="005F0BD5">
      <w:pPr>
        <w:rPr>
          <w:rFonts w:eastAsiaTheme="minorEastAsia"/>
          <w:b/>
          <w:bCs/>
          <w:i/>
          <w:iCs/>
          <w:noProof/>
          <w:color w:val="7F7F7F"/>
          <w:sz w:val="20"/>
          <w:szCs w:val="20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176EF5" w:rsidRPr="00176EF5" w:rsidRDefault="005F0BD5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  <w:r w:rsidRPr="00176EF5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SPRÁVA O IMPLEM</w:t>
      </w:r>
      <w:r w:rsidR="00243618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E</w:t>
      </w:r>
      <w:r w:rsidRPr="00176EF5">
        <w:rPr>
          <w:rFonts w:eastAsiaTheme="minorEastAsia"/>
          <w:b/>
          <w:bCs/>
          <w:iCs/>
          <w:noProof/>
          <w:sz w:val="28"/>
          <w:szCs w:val="28"/>
          <w:lang w:eastAsia="sk-SK"/>
        </w:rPr>
        <w:t xml:space="preserve">NTÁCII PROJEKTU </w:t>
      </w:r>
    </w:p>
    <w:p w:rsidR="005F0BD5" w:rsidRPr="00176EF5" w:rsidRDefault="005F0BD5" w:rsidP="00680FE9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  <w:r w:rsidRPr="00176EF5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k</w:t>
      </w:r>
      <w:r w:rsidR="00814899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 31.10</w:t>
      </w:r>
      <w:r w:rsidR="00DF7C69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.</w:t>
      </w:r>
      <w:r w:rsidRPr="00176EF5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2015</w:t>
      </w:r>
    </w:p>
    <w:p w:rsidR="00176EF5" w:rsidRDefault="00176EF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176EF5" w:rsidRDefault="00176EF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176EF5" w:rsidRDefault="00176EF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176EF5" w:rsidRDefault="00176EF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6E4A8E" w:rsidRDefault="006E4A8E" w:rsidP="0065201F">
      <w:pPr>
        <w:rPr>
          <w:rFonts w:eastAsiaTheme="minorEastAsia"/>
          <w:bCs/>
          <w:iCs/>
          <w:noProof/>
          <w:lang w:eastAsia="sk-SK"/>
        </w:rPr>
      </w:pPr>
    </w:p>
    <w:p w:rsidR="006E4A8E" w:rsidRDefault="006E4A8E" w:rsidP="0065201F">
      <w:pPr>
        <w:rPr>
          <w:rFonts w:eastAsiaTheme="minorEastAsia"/>
          <w:bCs/>
          <w:iCs/>
          <w:noProof/>
          <w:lang w:eastAsia="sk-SK"/>
        </w:rPr>
      </w:pPr>
    </w:p>
    <w:p w:rsidR="006E4A8E" w:rsidRDefault="006E4A8E" w:rsidP="006E4A8E">
      <w:pPr>
        <w:rPr>
          <w:rFonts w:eastAsiaTheme="minorEastAsia"/>
          <w:bCs/>
          <w:iCs/>
          <w:noProof/>
          <w:lang w:eastAsia="sk-SK"/>
        </w:rPr>
      </w:pPr>
    </w:p>
    <w:p w:rsidR="00D70695" w:rsidRDefault="00D7069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C706AA" w:rsidRDefault="00C706AA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176EF5" w:rsidRPr="00176EF5" w:rsidRDefault="00176EF5" w:rsidP="002877FE">
      <w:pPr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5F0BD5" w:rsidRDefault="002877FE" w:rsidP="005F0BD5">
      <w:pPr>
        <w:rPr>
          <w:rFonts w:eastAsiaTheme="minorEastAsia"/>
          <w:bCs/>
          <w:iCs/>
          <w:noProof/>
          <w:lang w:eastAsia="sk-SK"/>
        </w:rPr>
      </w:pPr>
      <w:r w:rsidRPr="002877FE">
        <w:rPr>
          <w:rFonts w:eastAsiaTheme="minorEastAsia"/>
          <w:bCs/>
          <w:iCs/>
          <w:noProof/>
          <w:lang w:eastAsia="sk-SK"/>
        </w:rPr>
        <w:t>1.</w:t>
      </w:r>
      <w:r w:rsidR="00D70695">
        <w:rPr>
          <w:rFonts w:eastAsiaTheme="minorEastAsia"/>
          <w:bCs/>
          <w:iCs/>
          <w:noProof/>
          <w:lang w:eastAsia="sk-SK"/>
        </w:rPr>
        <w:t xml:space="preserve"> Základné údaje </w:t>
      </w: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Názov projektu </w:t>
            </w:r>
          </w:p>
        </w:tc>
        <w:tc>
          <w:tcPr>
            <w:tcW w:w="7229" w:type="dxa"/>
          </w:tcPr>
          <w:p w:rsidR="005F0BD5" w:rsidRDefault="006D6EB3" w:rsidP="005F0BD5">
            <w:r w:rsidRPr="006D6EB3">
              <w:t>Univerzitný vedecký park TECHNICOM pre inovačné aplikácie s podporou znalostných technológií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Kód ITMS projektu </w:t>
            </w:r>
          </w:p>
        </w:tc>
        <w:tc>
          <w:tcPr>
            <w:tcW w:w="7229" w:type="dxa"/>
          </w:tcPr>
          <w:p w:rsidR="005F0BD5" w:rsidRDefault="00442CAC" w:rsidP="005F0BD5">
            <w:r>
              <w:t>26220220182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Kód výzvy </w:t>
            </w:r>
          </w:p>
        </w:tc>
        <w:tc>
          <w:tcPr>
            <w:tcW w:w="7229" w:type="dxa"/>
          </w:tcPr>
          <w:p w:rsidR="005F0BD5" w:rsidRDefault="00442CAC" w:rsidP="005F0BD5">
            <w:r>
              <w:t>OPVaV-2012/2.2/08-RO</w:t>
            </w:r>
          </w:p>
        </w:tc>
      </w:tr>
      <w:tr w:rsidR="00D70695" w:rsidTr="003272E8">
        <w:tc>
          <w:tcPr>
            <w:tcW w:w="3261" w:type="dxa"/>
            <w:shd w:val="clear" w:color="auto" w:fill="9BD4F9" w:themeFill="background2" w:themeFillShade="E6"/>
          </w:tcPr>
          <w:p w:rsidR="00D70695" w:rsidRPr="00176EF5" w:rsidRDefault="00D70695" w:rsidP="005F0BD5">
            <w:pPr>
              <w:rPr>
                <w:b/>
              </w:rPr>
            </w:pPr>
            <w:r>
              <w:rPr>
                <w:b/>
              </w:rPr>
              <w:t xml:space="preserve">Výška NFP </w:t>
            </w:r>
          </w:p>
        </w:tc>
        <w:tc>
          <w:tcPr>
            <w:tcW w:w="7229" w:type="dxa"/>
          </w:tcPr>
          <w:p w:rsidR="00D70695" w:rsidRDefault="0080026A" w:rsidP="005F0BD5">
            <w:r w:rsidRPr="0080026A">
              <w:t>39</w:t>
            </w:r>
            <w:r>
              <w:t> </w:t>
            </w:r>
            <w:r w:rsidRPr="0080026A">
              <w:t>648</w:t>
            </w:r>
            <w:r>
              <w:t xml:space="preserve"> </w:t>
            </w:r>
            <w:r w:rsidRPr="0080026A">
              <w:t>903,64</w:t>
            </w:r>
            <w:r>
              <w:t xml:space="preserve"> EUR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Číslo zmluvy o poskytnutí NFP </w:t>
            </w:r>
          </w:p>
        </w:tc>
        <w:tc>
          <w:tcPr>
            <w:tcW w:w="7229" w:type="dxa"/>
          </w:tcPr>
          <w:p w:rsidR="005F0BD5" w:rsidRDefault="0080026A" w:rsidP="005F0BD5">
            <w:r>
              <w:t>OPVaV/8/2013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Prijímateľ </w:t>
            </w:r>
          </w:p>
        </w:tc>
        <w:tc>
          <w:tcPr>
            <w:tcW w:w="7229" w:type="dxa"/>
          </w:tcPr>
          <w:p w:rsidR="005F0BD5" w:rsidRDefault="0080026A" w:rsidP="005F0BD5">
            <w:r w:rsidRPr="0080026A">
              <w:t>Technická univerzita v Košiciach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4822D7" w:rsidP="005F0BD5">
            <w:pPr>
              <w:rPr>
                <w:b/>
              </w:rPr>
            </w:pPr>
            <w:r>
              <w:rPr>
                <w:b/>
              </w:rPr>
              <w:t>Partner 1</w:t>
            </w:r>
          </w:p>
        </w:tc>
        <w:tc>
          <w:tcPr>
            <w:tcW w:w="7229" w:type="dxa"/>
          </w:tcPr>
          <w:p w:rsidR="005F0BD5" w:rsidRDefault="00DF7C69" w:rsidP="005F0BD5">
            <w:r w:rsidRPr="00DF7C69">
              <w:t>Univerzita Pavla Jozefa Šafárika v Košiciach</w:t>
            </w:r>
          </w:p>
        </w:tc>
      </w:tr>
      <w:tr w:rsidR="004822D7" w:rsidTr="003272E8">
        <w:tc>
          <w:tcPr>
            <w:tcW w:w="3261" w:type="dxa"/>
            <w:shd w:val="clear" w:color="auto" w:fill="9BD4F9" w:themeFill="background2" w:themeFillShade="E6"/>
          </w:tcPr>
          <w:p w:rsidR="004822D7" w:rsidRDefault="004822D7" w:rsidP="005F0BD5">
            <w:pPr>
              <w:rPr>
                <w:b/>
              </w:rPr>
            </w:pPr>
            <w:r>
              <w:rPr>
                <w:b/>
              </w:rPr>
              <w:t>Partner 2</w:t>
            </w:r>
          </w:p>
        </w:tc>
        <w:tc>
          <w:tcPr>
            <w:tcW w:w="7229" w:type="dxa"/>
          </w:tcPr>
          <w:p w:rsidR="004822D7" w:rsidRDefault="00DF7C69" w:rsidP="005F0BD5">
            <w:r w:rsidRPr="00DF7C69">
              <w:t>Prešovská univerzita v Prešove</w:t>
            </w:r>
          </w:p>
        </w:tc>
      </w:tr>
    </w:tbl>
    <w:p w:rsidR="002877FE" w:rsidRDefault="002877FE" w:rsidP="005F0BD5"/>
    <w:p w:rsidR="00E3137C" w:rsidRDefault="00E3137C" w:rsidP="005F0BD5"/>
    <w:p w:rsidR="00204800" w:rsidRDefault="00204800" w:rsidP="005F0BD5"/>
    <w:p w:rsidR="006E4A8E" w:rsidRDefault="006E4A8E" w:rsidP="005F0BD5"/>
    <w:p w:rsidR="0065201F" w:rsidRDefault="0065201F" w:rsidP="0065201F">
      <w:pPr>
        <w:rPr>
          <w:rFonts w:eastAsiaTheme="minorEastAsia"/>
          <w:bCs/>
          <w:iCs/>
          <w:noProof/>
          <w:lang w:eastAsia="sk-SK"/>
        </w:rPr>
      </w:pPr>
      <w:r>
        <w:rPr>
          <w:rFonts w:eastAsiaTheme="minorEastAsia"/>
          <w:bCs/>
          <w:iCs/>
          <w:noProof/>
          <w:lang w:eastAsia="sk-SK"/>
        </w:rPr>
        <w:lastRenderedPageBreak/>
        <w:t xml:space="preserve">2. </w:t>
      </w:r>
      <w:r w:rsidR="00365918">
        <w:rPr>
          <w:rFonts w:eastAsiaTheme="minorEastAsia"/>
          <w:bCs/>
          <w:iCs/>
          <w:noProof/>
          <w:lang w:eastAsia="sk-SK"/>
        </w:rPr>
        <w:t>Vecný pokrok v realizácii</w:t>
      </w:r>
      <w:r>
        <w:rPr>
          <w:rFonts w:eastAsiaTheme="minorEastAsia"/>
          <w:bCs/>
          <w:iCs/>
          <w:noProof/>
          <w:lang w:eastAsia="sk-SK"/>
        </w:rPr>
        <w:t xml:space="preserve"> aktivít</w:t>
      </w:r>
      <w:r w:rsidR="00365918">
        <w:rPr>
          <w:rFonts w:eastAsiaTheme="minorEastAsia"/>
          <w:bCs/>
          <w:iCs/>
          <w:noProof/>
          <w:lang w:eastAsia="sk-SK"/>
        </w:rPr>
        <w:t xml:space="preserve"> projektu </w:t>
      </w:r>
      <w:r>
        <w:rPr>
          <w:rFonts w:eastAsiaTheme="minorEastAsia"/>
          <w:bCs/>
          <w:iCs/>
          <w:noProof/>
          <w:lang w:eastAsia="sk-SK"/>
        </w:rPr>
        <w:t xml:space="preserve"> </w:t>
      </w:r>
      <w:r w:rsidR="00365918">
        <w:rPr>
          <w:rFonts w:eastAsiaTheme="minorEastAsia"/>
          <w:bCs/>
          <w:iCs/>
          <w:noProof/>
          <w:lang w:eastAsia="sk-SK"/>
        </w:rPr>
        <w:t>a rizikové oblasti</w:t>
      </w:r>
      <w:r>
        <w:rPr>
          <w:rFonts w:eastAsiaTheme="minorEastAsia"/>
          <w:bCs/>
          <w:iCs/>
          <w:noProof/>
          <w:lang w:eastAsia="sk-SK"/>
        </w:rPr>
        <w:t xml:space="preserve"> </w:t>
      </w: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2660"/>
        <w:gridCol w:w="7830"/>
      </w:tblGrid>
      <w:tr w:rsidR="0065201F" w:rsidTr="003272E8">
        <w:tc>
          <w:tcPr>
            <w:tcW w:w="10490" w:type="dxa"/>
            <w:gridSpan w:val="2"/>
            <w:shd w:val="clear" w:color="auto" w:fill="9BD4F9" w:themeFill="background2" w:themeFillShade="E6"/>
            <w:vAlign w:val="center"/>
          </w:tcPr>
          <w:p w:rsidR="0065201F" w:rsidRPr="00EA150F" w:rsidRDefault="0065201F" w:rsidP="003272E8">
            <w:pPr>
              <w:ind w:left="-709" w:firstLine="709"/>
              <w:jc w:val="center"/>
              <w:rPr>
                <w:b/>
                <w:vertAlign w:val="superscript"/>
              </w:rPr>
            </w:pPr>
            <w:r w:rsidRPr="0065201F">
              <w:rPr>
                <w:rFonts w:eastAsiaTheme="minorEastAsia"/>
                <w:b/>
                <w:bCs/>
                <w:iCs/>
                <w:noProof/>
                <w:lang w:eastAsia="sk-SK"/>
              </w:rPr>
              <w:t>Vecn</w:t>
            </w:r>
            <w:r w:rsidR="00365918">
              <w:rPr>
                <w:rFonts w:eastAsiaTheme="minorEastAsia"/>
                <w:b/>
                <w:bCs/>
                <w:iCs/>
                <w:noProof/>
                <w:lang w:eastAsia="sk-SK"/>
              </w:rPr>
              <w:t>ý pokrok v realizácii</w:t>
            </w:r>
            <w:r w:rsidRPr="0065201F">
              <w:rPr>
                <w:rFonts w:eastAsiaTheme="minorEastAsia"/>
                <w:b/>
                <w:bCs/>
                <w:iCs/>
                <w:noProof/>
                <w:lang w:eastAsia="sk-SK"/>
              </w:rPr>
              <w:t xml:space="preserve"> aktivít</w:t>
            </w:r>
            <w:r w:rsidR="00365918">
              <w:rPr>
                <w:rFonts w:eastAsiaTheme="minorEastAsia"/>
                <w:b/>
                <w:bCs/>
                <w:iCs/>
                <w:noProof/>
                <w:lang w:eastAsia="sk-SK"/>
              </w:rPr>
              <w:t xml:space="preserve"> projektu</w:t>
            </w:r>
            <w:r w:rsidRPr="0065201F">
              <w:rPr>
                <w:rFonts w:eastAsiaTheme="minorEastAsia"/>
                <w:b/>
                <w:bCs/>
                <w:iCs/>
                <w:noProof/>
                <w:lang w:eastAsia="sk-SK"/>
              </w:rPr>
              <w:t xml:space="preserve"> </w:t>
            </w:r>
            <w:r w:rsidR="00365918">
              <w:rPr>
                <w:rFonts w:eastAsiaTheme="minorEastAsia"/>
                <w:b/>
                <w:bCs/>
                <w:iCs/>
                <w:noProof/>
                <w:lang w:eastAsia="sk-SK"/>
              </w:rPr>
              <w:t>a rizikové oblasti</w:t>
            </w:r>
            <w:r w:rsidR="00EA150F">
              <w:rPr>
                <w:rFonts w:eastAsiaTheme="minorEastAsia"/>
                <w:b/>
                <w:bCs/>
                <w:iCs/>
                <w:noProof/>
                <w:vertAlign w:val="superscript"/>
                <w:lang w:eastAsia="sk-SK"/>
              </w:rPr>
              <w:t>1</w:t>
            </w:r>
          </w:p>
        </w:tc>
      </w:tr>
      <w:tr w:rsidR="0065201F" w:rsidTr="003272E8">
        <w:tc>
          <w:tcPr>
            <w:tcW w:w="10490" w:type="dxa"/>
            <w:gridSpan w:val="2"/>
            <w:shd w:val="clear" w:color="auto" w:fill="9BD4F9" w:themeFill="background2" w:themeFillShade="E6"/>
            <w:vAlign w:val="center"/>
          </w:tcPr>
          <w:p w:rsidR="0065201F" w:rsidRPr="0065201F" w:rsidRDefault="0065201F" w:rsidP="0065201F">
            <w:pPr>
              <w:jc w:val="center"/>
              <w:rPr>
                <w:b/>
              </w:rPr>
            </w:pPr>
            <w:r w:rsidRPr="0065201F">
              <w:rPr>
                <w:b/>
              </w:rPr>
              <w:t>Hlavné aktivity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B53979">
            <w:r w:rsidRPr="006D6EB3">
              <w:t>Aktivita 1.1 Etablovanie UVP TECHNICOM v súlade s adekvátnymi princípmi vedeckého manažmentu.</w:t>
            </w:r>
          </w:p>
          <w:p w:rsidR="00E12A9A" w:rsidRPr="00E12A9A" w:rsidRDefault="00E12A9A" w:rsidP="00B53979">
            <w:r>
              <w:rPr>
                <w:sz w:val="20"/>
                <w:szCs w:val="20"/>
              </w:rPr>
              <w:t>(</w:t>
            </w:r>
            <w:r w:rsidRPr="00E12A9A">
              <w:rPr>
                <w:sz w:val="20"/>
                <w:szCs w:val="20"/>
              </w:rPr>
              <w:t>doc. Ing. František Jakab, PhD.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830" w:type="dxa"/>
          </w:tcPr>
          <w:p w:rsidR="00204800" w:rsidRDefault="00204800" w:rsidP="005F0BD5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5F0BD5">
            <w:pPr>
              <w:rPr>
                <w:u w:val="single"/>
              </w:rPr>
            </w:pPr>
          </w:p>
          <w:p w:rsidR="0065201F" w:rsidRPr="00204800" w:rsidRDefault="00204800" w:rsidP="005F0BD5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="00647E2E" w:rsidRPr="00204800">
              <w:rPr>
                <w:u w:val="single"/>
              </w:rPr>
              <w:t>osiahnuté výsledky aktivity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5F0BD5"/>
          <w:p w:rsidR="00EA150F" w:rsidRPr="00204800" w:rsidRDefault="00204800" w:rsidP="005F0BD5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="00647E2E" w:rsidRPr="00204800">
              <w:rPr>
                <w:u w:val="single"/>
              </w:rPr>
              <w:t>izikové oblasti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5F0BD5"/>
          <w:p w:rsidR="00647E2E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="00647E2E" w:rsidRPr="00204800">
              <w:rPr>
                <w:u w:val="single"/>
              </w:rPr>
              <w:t>k je realizácia aktivít v omeškaní, je potrebné uviesť dôvody omeškania a aké boli prijaté opatrenia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204800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1.2 Metodická, odborná a realizačná podpora riešenia predkladaného projektu</w:t>
            </w:r>
          </w:p>
          <w:p w:rsidR="00E12A9A" w:rsidRDefault="00E12A9A" w:rsidP="005F0BD5">
            <w:r w:rsidRPr="00E12A9A">
              <w:t>(PhDr. Branislav Bonk)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647E2E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EA150F" w:rsidRDefault="00EA150F" w:rsidP="005F0BD5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1.3 Príprava a zabezpečenie služieb pre udržateľný chod UVP TECHNICOM</w:t>
            </w:r>
          </w:p>
          <w:p w:rsidR="00E12A9A" w:rsidRDefault="00E12A9A" w:rsidP="005F0BD5">
            <w:r>
              <w:rPr>
                <w:sz w:val="20"/>
                <w:szCs w:val="20"/>
              </w:rPr>
              <w:t>(</w:t>
            </w:r>
            <w:r w:rsidRPr="00E12A9A">
              <w:rPr>
                <w:sz w:val="20"/>
                <w:szCs w:val="20"/>
              </w:rPr>
              <w:t>doc. Ing. František Jakab, PhD.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647E2E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EA150F" w:rsidRDefault="00EA150F" w:rsidP="005F0BD5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2.1. Vybudovanie stavebných objektov a príslušnej infraštruktúry v areáli TUKE</w:t>
            </w:r>
          </w:p>
          <w:p w:rsidR="00E12A9A" w:rsidRDefault="00E12A9A" w:rsidP="005F0BD5">
            <w:r w:rsidRPr="00E12A9A">
              <w:t>(Ing. Marcel Behún, PhD.)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5F0BD5"/>
          <w:p w:rsidR="0065201F" w:rsidRDefault="00204800" w:rsidP="005F0BD5">
            <w:pPr>
              <w:rPr>
                <w:u w:val="single"/>
              </w:rPr>
            </w:pPr>
            <w:r w:rsidRPr="00204800">
              <w:rPr>
                <w:u w:val="single"/>
              </w:rPr>
              <w:t>S</w:t>
            </w:r>
            <w:r w:rsidR="00717D64" w:rsidRPr="00204800">
              <w:rPr>
                <w:u w:val="single"/>
              </w:rPr>
              <w:t>účasný stav verejného obstarávania</w:t>
            </w:r>
            <w:r w:rsidRPr="00204800">
              <w:rPr>
                <w:u w:val="single"/>
              </w:rPr>
              <w:t>:</w:t>
            </w:r>
          </w:p>
          <w:p w:rsidR="00204800" w:rsidRPr="00204800" w:rsidRDefault="00204800" w:rsidP="005F0BD5">
            <w:pPr>
              <w:rPr>
                <w:u w:val="single"/>
              </w:rPr>
            </w:pPr>
          </w:p>
          <w:p w:rsidR="00EA150F" w:rsidRPr="00204800" w:rsidRDefault="00204800" w:rsidP="005F0BD5">
            <w:pPr>
              <w:rPr>
                <w:u w:val="single"/>
              </w:rPr>
            </w:pPr>
            <w:r w:rsidRPr="00204800">
              <w:rPr>
                <w:u w:val="single"/>
              </w:rPr>
              <w:t>P</w:t>
            </w:r>
            <w:r w:rsidR="00647E2E" w:rsidRPr="00204800">
              <w:rPr>
                <w:u w:val="single"/>
              </w:rPr>
              <w:t>okrok v stavebných činnostiach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755127" w:rsidRDefault="00755127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  <w:p w:rsidR="00755127" w:rsidRPr="00755127" w:rsidRDefault="00755127" w:rsidP="005F0BD5">
            <w:r w:rsidRPr="00755127">
              <w:t>(Fotodokumentácia</w:t>
            </w:r>
            <w:r>
              <w:t xml:space="preserve"> aktuálneho stavu)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2.2. Vybavenie objektov UVP na TUKE prístrojovou, IKT a špecializovanou technikou pre potreby VaV</w:t>
            </w:r>
          </w:p>
          <w:p w:rsidR="00E12A9A" w:rsidRDefault="00E12A9A" w:rsidP="005F0BD5">
            <w:r w:rsidRPr="00E12A9A">
              <w:t>(Ing. Martin Chovanec, PhD.)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717D64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Súčasný stav verejného obstarávania:</w:t>
            </w:r>
          </w:p>
          <w:p w:rsidR="00204800" w:rsidRDefault="00204800" w:rsidP="005F0BD5"/>
          <w:p w:rsidR="0065201F" w:rsidRDefault="00204800" w:rsidP="005F0BD5">
            <w:pPr>
              <w:rPr>
                <w:u w:val="single"/>
              </w:rPr>
            </w:pPr>
            <w:r w:rsidRPr="00204800">
              <w:rPr>
                <w:u w:val="single"/>
              </w:rPr>
              <w:t>P</w:t>
            </w:r>
            <w:r w:rsidR="00647E2E" w:rsidRPr="00204800">
              <w:rPr>
                <w:u w:val="single"/>
              </w:rPr>
              <w:t>okrok v dodaní tovarov a</w:t>
            </w:r>
            <w:r w:rsidRPr="00204800">
              <w:rPr>
                <w:u w:val="single"/>
              </w:rPr>
              <w:t> </w:t>
            </w:r>
            <w:r w:rsidR="00647E2E" w:rsidRPr="00204800">
              <w:rPr>
                <w:u w:val="single"/>
              </w:rPr>
              <w:t>služieb</w:t>
            </w:r>
            <w:r w:rsidRPr="00204800">
              <w:rPr>
                <w:u w:val="single"/>
              </w:rPr>
              <w:t>:</w:t>
            </w:r>
          </w:p>
          <w:p w:rsidR="00204800" w:rsidRPr="00204800" w:rsidRDefault="00204800" w:rsidP="005F0BD5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lastRenderedPageBreak/>
              <w:t>Aktivita 2.3 Nadstavba, zateplenie a modernizácia časti UVP TECHNICOM na Jesennej 5 v</w:t>
            </w:r>
            <w:r w:rsidR="00E12A9A">
              <w:t> </w:t>
            </w:r>
            <w:r w:rsidRPr="006D6EB3">
              <w:t>Košiciach</w:t>
            </w:r>
          </w:p>
          <w:p w:rsidR="00E12A9A" w:rsidRDefault="00E12A9A" w:rsidP="005F0BD5">
            <w:r w:rsidRPr="00E12A9A">
              <w:t>(doc. RNDr. Gabriel Semanišin, PhD.)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820630" w:rsidP="00717D64">
            <w:r w:rsidRPr="00820630">
              <w:t xml:space="preserve">V mesiaci </w:t>
            </w:r>
            <w:r w:rsidR="00676831">
              <w:t>október</w:t>
            </w:r>
            <w:r w:rsidRPr="00820630">
              <w:t xml:space="preserve"> pokračovali práce na oceľovej konštrukcii (OK) nadstavby. </w:t>
            </w:r>
            <w:r w:rsidR="00676831">
              <w:t>Pôvodný termín ukončenia OK (polovica októbra) zhotoviteľ nedodržal. Ostáva dokončiť zavetranie konštrukcie a</w:t>
            </w:r>
            <w:r w:rsidR="005F24A5">
              <w:t xml:space="preserve"> zosilnenie pozdĺžnych oceľových profilov. Montáž fasády a okien je závislá na ukončení OK a teda v tomto mesiaci neboli tieto činnosti realizované. </w:t>
            </w:r>
            <w:r w:rsidRPr="00820630">
              <w:t>Zhotoviteľ bol znova požiadaný o predloženie aktualizovaného</w:t>
            </w:r>
            <w:r w:rsidR="005F24A5">
              <w:t xml:space="preserve"> </w:t>
            </w:r>
            <w:r w:rsidRPr="00820630">
              <w:t xml:space="preserve">harmonogramu montážnych prác. </w:t>
            </w:r>
            <w:r w:rsidR="005F24A5">
              <w:t>Bola realizovaná</w:t>
            </w:r>
            <w:r w:rsidRPr="00820630">
              <w:t xml:space="preserve"> demontáž vzduchotechnických jednotiek na streche obje</w:t>
            </w:r>
            <w:r w:rsidR="005F24A5">
              <w:t>ktu a zabezpečenie okien laboratórií na prízemí objektu.</w:t>
            </w:r>
          </w:p>
          <w:p w:rsidR="00820630" w:rsidRDefault="00820630" w:rsidP="00717D64"/>
          <w:p w:rsidR="00204800" w:rsidRPr="00820630" w:rsidRDefault="00204800" w:rsidP="00204800">
            <w:r w:rsidRPr="00204800">
              <w:rPr>
                <w:u w:val="single"/>
              </w:rPr>
              <w:t>Súčasný stav verejného obstarávania:</w:t>
            </w:r>
            <w:r w:rsidR="00820630">
              <w:t xml:space="preserve"> VO je ukončené.</w:t>
            </w:r>
          </w:p>
          <w:p w:rsidR="00204800" w:rsidRDefault="00204800" w:rsidP="005F0BD5"/>
          <w:p w:rsidR="00204800" w:rsidRPr="00820630" w:rsidRDefault="00204800" w:rsidP="00204800">
            <w:r w:rsidRPr="00204800">
              <w:rPr>
                <w:u w:val="single"/>
              </w:rPr>
              <w:t>Pokrok v stavebných činnostiach:</w:t>
            </w:r>
            <w:r w:rsidR="00820630" w:rsidRPr="00820630">
              <w:t xml:space="preserve"> Pokračuje realizácia stavebných činností. Presnejší popis je v časti „Vecný pokrok“ vyššie.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C53875" w:rsidRPr="00204800" w:rsidRDefault="00204800" w:rsidP="00C53875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  <w:r w:rsidR="00C53875" w:rsidRPr="00C53875">
              <w:t xml:space="preserve"> </w:t>
            </w:r>
            <w:r w:rsidR="00C53875" w:rsidRPr="00445BF5">
              <w:t>Nedodržanie harmonogramu prác. Meškanie oproti predloženému harmonogramu. Zhotoviteľ bol požiadaný o prepracovanie aktuálneho</w:t>
            </w:r>
            <w:r w:rsidR="00C53875">
              <w:t xml:space="preserve"> h</w:t>
            </w:r>
            <w:r w:rsidR="00C53875" w:rsidRPr="00445BF5">
              <w:t>armonogramu s ohľadom na postup prác.</w:t>
            </w:r>
          </w:p>
          <w:p w:rsidR="00204800" w:rsidRDefault="00204800" w:rsidP="005F0BD5"/>
          <w:p w:rsidR="00204800" w:rsidRPr="00676831" w:rsidRDefault="00204800" w:rsidP="00204800"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  <w:r w:rsidR="00676831">
              <w:t xml:space="preserve"> Úzka spolupráca medzi z</w:t>
            </w:r>
            <w:r w:rsidR="00676831" w:rsidRPr="00445BF5">
              <w:t>hotoviteľ</w:t>
            </w:r>
            <w:r w:rsidR="00676831">
              <w:t>om, stavebným dozorom, projektantom a vedením univerzity.</w:t>
            </w:r>
          </w:p>
          <w:p w:rsidR="00647E2E" w:rsidRDefault="00647E2E" w:rsidP="005F0BD5"/>
          <w:p w:rsidR="00755127" w:rsidRDefault="00755127" w:rsidP="005F0BD5">
            <w:r w:rsidRPr="00755127">
              <w:t>(Fotodokumentácia</w:t>
            </w:r>
            <w:r>
              <w:t xml:space="preserve"> aktuálneho stavu)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2.4  Vybavenie UVP TECHNICOM Jesenná 5 infraštruktúrou potrebnou k realizácii aplikovaného výskumu</w:t>
            </w:r>
          </w:p>
          <w:p w:rsidR="00E12A9A" w:rsidRDefault="00E12A9A" w:rsidP="005F0BD5">
            <w:r w:rsidRPr="00E12A9A">
              <w:t>(doc. RNDr. Gabriel Semanišin, PhD.)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BF7B57" w:rsidP="00974BB7">
            <w:r>
              <w:t>V mesiaci október boli dodané zariadenia v celkovej hodnote 923 544,-</w:t>
            </w:r>
            <w:r w:rsidRPr="00211077">
              <w:t xml:space="preserve"> €</w:t>
            </w:r>
            <w:r w:rsidR="00974BB7">
              <w:t>. Išlo o tieto zariadenia: Programovateľný digitálny multikanálový procesor na spracovanie akustického signálu s doplnkami, Snímač zraku</w:t>
            </w:r>
            <w:r w:rsidR="00974BB7">
              <w:tab/>
              <w:t>BPU07 Binocular system for pupil size eye movements, Osciloskop TEKTRONIX - TDS2004C, Záložný zdroj APC Smart-UPS SRT 6000VA, APC Smart UPS RT 8000 RM, APC Smart-UPS RT 192V RM Battery, Audio systém ClearOne Converge Pro 880TA 1ks, MPC 67 SW 8ks, CRS6 One 4 4ks, Špecializovaný GIS softvér ESRI ArcGIS, Bezpilotné letecké zariadenie s integrovaným laserovým skenerom a hyperspektrálnou kamerou Aeroscout GmbH Scout B1-100 UAV.</w:t>
            </w:r>
          </w:p>
          <w:p w:rsidR="00BF7B57" w:rsidRDefault="00BF7B57" w:rsidP="00717D64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Súčasný stav verejného obstarávania:</w:t>
            </w:r>
            <w:r w:rsidR="00691F51">
              <w:t xml:space="preserve"> VO je ukončené.</w:t>
            </w:r>
          </w:p>
          <w:p w:rsidR="00204800" w:rsidRDefault="00204800" w:rsidP="00647E2E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Pokrok v dodaní tovarov a služieb:</w:t>
            </w:r>
            <w:r w:rsidR="00691F51">
              <w:t xml:space="preserve"> D</w:t>
            </w:r>
            <w:r w:rsidR="00691F51" w:rsidRPr="00211077">
              <w:t>odané zariadenia v celkovej hodnote</w:t>
            </w:r>
            <w:r w:rsidR="00BF7B57">
              <w:t xml:space="preserve"> 923 544,-</w:t>
            </w:r>
            <w:r w:rsidR="00BF7B57" w:rsidRPr="00211077">
              <w:t>€</w:t>
            </w:r>
            <w:r w:rsidR="00BF7B57">
              <w:t>.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  <w:r w:rsidR="00691F51" w:rsidRPr="00211077">
              <w:t xml:space="preserve"> Umiestnenie centrálneho výpočtového uzla je plánované do serverovne</w:t>
            </w:r>
            <w:r w:rsidR="00BF7B57">
              <w:t xml:space="preserve">, </w:t>
            </w:r>
            <w:r w:rsidR="00691F51" w:rsidRPr="00211077">
              <w:t>v časti budovy kde je plánovaná rekonštrukcia v rámci projektu. Je možné že budeme musieť hľadať alternatívne umiestnenie ak by stavebné práce nepokračovali podľa harmonogramu.</w:t>
            </w:r>
            <w:r w:rsidR="00BF7B57">
              <w:t xml:space="preserve"> So zhotoviteľom sme vstúpili do jednania ohľadom dodania softvéru </w:t>
            </w:r>
            <w:r w:rsidR="00BF7B57" w:rsidRPr="00BF7B57">
              <w:t>IBM SPSS Modeler Professional</w:t>
            </w:r>
            <w:r w:rsidR="00BF7B57">
              <w:t xml:space="preserve"> (položka </w:t>
            </w:r>
            <w:r w:rsidR="00BF7B57" w:rsidRPr="00BF7B57">
              <w:t>2.1.18.35</w:t>
            </w:r>
            <w:r w:rsidR="00BF7B57">
              <w:t xml:space="preserve">) a </w:t>
            </w:r>
            <w:r w:rsidR="00BF7B57" w:rsidRPr="00BF7B57">
              <w:t>IBM SPSS Statistics Premium</w:t>
            </w:r>
            <w:r w:rsidR="00BF7B57">
              <w:t xml:space="preserve"> (položka 2.1.18.36), ktorý zatiaľ zhotoviteľ odmieta dodať.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  <w:r w:rsidR="00BF7B57" w:rsidRPr="00211077">
              <w:t xml:space="preserve"> Aktivita nie je v omeškaní.</w:t>
            </w:r>
          </w:p>
          <w:p w:rsidR="00EA150F" w:rsidRDefault="00EA150F" w:rsidP="005F0BD5"/>
        </w:tc>
      </w:tr>
      <w:tr w:rsidR="00EA150F" w:rsidTr="003272E8">
        <w:tc>
          <w:tcPr>
            <w:tcW w:w="2660" w:type="dxa"/>
            <w:shd w:val="clear" w:color="auto" w:fill="9BD4F9" w:themeFill="background2" w:themeFillShade="E6"/>
          </w:tcPr>
          <w:p w:rsidR="00EA150F" w:rsidRDefault="006D6EB3" w:rsidP="005F0BD5">
            <w:r w:rsidRPr="006D6EB3">
              <w:lastRenderedPageBreak/>
              <w:t xml:space="preserve">Aktivita 2.5 Výstavba nových výskumných priestorov partnera Prešovská univerzita </w:t>
            </w:r>
            <w:r w:rsidR="00E12A9A">
              <w:t>–</w:t>
            </w:r>
            <w:r w:rsidRPr="006D6EB3">
              <w:t xml:space="preserve"> UNIPOLAB</w:t>
            </w:r>
          </w:p>
          <w:p w:rsidR="00E12A9A" w:rsidRDefault="00E12A9A" w:rsidP="005F0BD5">
            <w:r w:rsidRPr="00E12A9A">
              <w:t>(doc. Ing. Peter Adamišin, PhD)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717D64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Súčasný stav verejného obstarávania: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Pokrok v stavebných činnostiach: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  <w:p w:rsidR="00755127" w:rsidRDefault="00755127" w:rsidP="005F0BD5">
            <w:r w:rsidRPr="00755127">
              <w:t>(Fotodokumentácia</w:t>
            </w:r>
            <w:r>
              <w:t xml:space="preserve"> aktuálneho stavu)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2.6  Vybavenie priestorov partnera PU nevyhnutnou prístrojovou, laboratórnou a IKT infraštruktúrou</w:t>
            </w:r>
          </w:p>
          <w:p w:rsidR="00E12A9A" w:rsidRDefault="00E12A9A" w:rsidP="005F0BD5">
            <w:r w:rsidRPr="00E12A9A">
              <w:t>(doc. Ing. Peter Adamišin, PhD)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717D64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Súčasný stav verejného obstarávania:</w:t>
            </w:r>
          </w:p>
          <w:p w:rsidR="00204800" w:rsidRDefault="00204800" w:rsidP="00647E2E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Pokrok v dodaní tovarov a služieb: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EA150F" w:rsidRDefault="00EA150F" w:rsidP="005F0BD5"/>
        </w:tc>
      </w:tr>
      <w:tr w:rsidR="0065201F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3.1 Pilotné projekty v odbore  Informačné a komunikačné technológie</w:t>
            </w:r>
          </w:p>
          <w:p w:rsidR="00E12A9A" w:rsidRDefault="00E12A9A" w:rsidP="005F0BD5">
            <w:r w:rsidRPr="00E12A9A">
              <w:t>(doc. Ing. František Jakab, CSc.)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5F0BD5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Pr="00204800" w:rsidRDefault="00204800" w:rsidP="005F0BD5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>Aktivita 3.2 Pilotné projekty v odbore Elektrotechnika, automatizácia a riadiace systémy</w:t>
            </w:r>
          </w:p>
          <w:p w:rsidR="00E12A9A" w:rsidRDefault="00E12A9A" w:rsidP="005F0BD5">
            <w:r w:rsidRPr="00E12A9A">
              <w:t>(prof. Ing. AlenaPietriková, CSc.)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>Aktivita 3.3 Pilotné projekty v odbore Strojárstvo</w:t>
            </w:r>
          </w:p>
          <w:p w:rsidR="00E12A9A" w:rsidRDefault="00E12A9A" w:rsidP="005F0BD5">
            <w:r w:rsidRPr="00E12A9A">
              <w:t xml:space="preserve">(Dr.h.c.prof.Ing.Miroslav </w:t>
            </w:r>
            <w:r w:rsidRPr="00E12A9A">
              <w:lastRenderedPageBreak/>
              <w:t>Badida)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lastRenderedPageBreak/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647E2E" w:rsidRDefault="00647E2E" w:rsidP="00647E2E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lastRenderedPageBreak/>
              <w:t>Aktivita 3.4 Pilotné projekty v odbore Stavebné inžinierstvo</w:t>
            </w:r>
          </w:p>
          <w:p w:rsidR="00E12A9A" w:rsidRDefault="00E12A9A" w:rsidP="005F0BD5">
            <w:r w:rsidRPr="00E12A9A">
              <w:t>(prof. Ing. Stanislav Kmeť, CSc.)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 w:rsidR="0018056B"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>Aktivita 3.5 Pilotné projekty v odbore Environmentálne inžinierstvo</w:t>
            </w:r>
          </w:p>
          <w:p w:rsidR="00E12A9A" w:rsidRPr="006D6EB3" w:rsidRDefault="00E12A9A" w:rsidP="005F0BD5">
            <w:r w:rsidRPr="00E12A9A">
              <w:t>(doc. Ing.  Ján Spišák, PhD.)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9262DA" w:rsidRDefault="009262DA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>Aktivita 3.6.  Pilotné projekty UPJŠ v odbore Informačné a komunikačné technológie</w:t>
            </w:r>
          </w:p>
          <w:p w:rsidR="00E12A9A" w:rsidRPr="006D6EB3" w:rsidRDefault="00E12A9A" w:rsidP="005F0BD5">
            <w:r w:rsidRPr="00E12A9A">
              <w:t>(doc. RNDr. Gabriel Semanišin, PhD.)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7C0F74" w:rsidRDefault="007C0F74" w:rsidP="007C0F74">
            <w:pPr>
              <w:jc w:val="both"/>
              <w:rPr>
                <w:b/>
              </w:rPr>
            </w:pPr>
            <w:r w:rsidRPr="0077631A">
              <w:rPr>
                <w:b/>
              </w:rPr>
              <w:t>PP 1. Aplikovaný výskum v oblasti paralelného a distribuovaného počítania:</w:t>
            </w:r>
          </w:p>
          <w:p w:rsidR="007C3AA7" w:rsidRDefault="007C3AA7" w:rsidP="007C3AA7">
            <w:pPr>
              <w:pStyle w:val="Odsekzoznamu"/>
              <w:numPr>
                <w:ilvl w:val="0"/>
                <w:numId w:val="7"/>
              </w:numPr>
            </w:pPr>
            <w:r w:rsidRPr="00242FF9">
              <w:t>V sledovanom období neboli vykázané žiadne odpracované hodiny riešiteľov a teda sa nerealizovali žiadne práce na aktivite.</w:t>
            </w:r>
          </w:p>
          <w:p w:rsidR="007C0F74" w:rsidRPr="001F670E" w:rsidRDefault="007C0F74" w:rsidP="007C0F74">
            <w:pPr>
              <w:jc w:val="both"/>
            </w:pPr>
          </w:p>
          <w:p w:rsidR="007C0F74" w:rsidRDefault="007C0F74" w:rsidP="007C0F74">
            <w:pPr>
              <w:jc w:val="both"/>
              <w:rPr>
                <w:b/>
              </w:rPr>
            </w:pPr>
            <w:r w:rsidRPr="00EA760B">
              <w:rPr>
                <w:b/>
              </w:rPr>
              <w:t>PP 2. Vývoj nástrojov a metód pre virtuálnu kolaboráciu:</w:t>
            </w:r>
          </w:p>
          <w:p w:rsidR="00CC7905" w:rsidRDefault="00CC7905" w:rsidP="00CC7905">
            <w:pPr>
              <w:pStyle w:val="Odsekzoznamu"/>
              <w:numPr>
                <w:ilvl w:val="0"/>
                <w:numId w:val="5"/>
              </w:numPr>
              <w:jc w:val="both"/>
            </w:pPr>
            <w:r>
              <w:t xml:space="preserve">Pokračovanie na vývoji novej funkcionality – vytváranie a editácia ViewMe/SeeVogh mítingov priamo v koncovej klientskej aplikácii. </w:t>
            </w:r>
          </w:p>
          <w:p w:rsidR="00CC7905" w:rsidRDefault="00CC7905" w:rsidP="00CC7905">
            <w:pPr>
              <w:pStyle w:val="Odsekzoznamu"/>
              <w:numPr>
                <w:ilvl w:val="0"/>
                <w:numId w:val="5"/>
              </w:numPr>
              <w:jc w:val="both"/>
            </w:pPr>
            <w:r>
              <w:t>Pokračovanie vo vývoji prehrávača štandardných A/V formatov.</w:t>
            </w:r>
          </w:p>
          <w:p w:rsidR="007C0F74" w:rsidRPr="005D3E73" w:rsidRDefault="00CC7905" w:rsidP="00CC7905">
            <w:pPr>
              <w:pStyle w:val="Odsekzoznamu"/>
              <w:numPr>
                <w:ilvl w:val="0"/>
                <w:numId w:val="5"/>
              </w:numPr>
              <w:jc w:val="both"/>
            </w:pPr>
            <w:r>
              <w:t xml:space="preserve">Štúdium dokumentácie a testovanie dodaného audio systému pre pilotnú videokonferenčnú miestnosť.   </w:t>
            </w:r>
          </w:p>
          <w:p w:rsidR="00CC7905" w:rsidRDefault="00CC7905" w:rsidP="007C0F74">
            <w:pPr>
              <w:jc w:val="both"/>
              <w:rPr>
                <w:b/>
              </w:rPr>
            </w:pPr>
          </w:p>
          <w:p w:rsidR="007C0F74" w:rsidRDefault="007C0F74" w:rsidP="007C0F74">
            <w:pPr>
              <w:jc w:val="both"/>
              <w:rPr>
                <w:b/>
              </w:rPr>
            </w:pPr>
            <w:r w:rsidRPr="00EA760B">
              <w:rPr>
                <w:b/>
              </w:rPr>
              <w:t>PP 3. Výskum v oblasti inovatívnych interakcií človek-počítač:</w:t>
            </w:r>
          </w:p>
          <w:p w:rsidR="000E0C92" w:rsidRDefault="000E0C92" w:rsidP="000E0C92">
            <w:pPr>
              <w:pStyle w:val="Odsekzoznamu"/>
              <w:numPr>
                <w:ilvl w:val="0"/>
                <w:numId w:val="6"/>
              </w:numPr>
              <w:jc w:val="both"/>
            </w:pPr>
            <w:r w:rsidRPr="000E0C92">
              <w:t>Pokračova</w:t>
            </w:r>
            <w:r>
              <w:t>nie</w:t>
            </w:r>
            <w:r w:rsidRPr="000E0C92">
              <w:t xml:space="preserve"> v spolupráci s Boston University a s Massachusetts General Hospital / Harvard Medical School na EEG výskume a na výskume priestorového sluchového vnímania.</w:t>
            </w:r>
          </w:p>
          <w:p w:rsidR="007C0F74" w:rsidRDefault="000E0C92" w:rsidP="000E0C92">
            <w:pPr>
              <w:pStyle w:val="Odsekzoznamu"/>
              <w:numPr>
                <w:ilvl w:val="0"/>
                <w:numId w:val="6"/>
              </w:numPr>
              <w:jc w:val="both"/>
            </w:pPr>
            <w:r w:rsidRPr="000E0C92">
              <w:t>Pr</w:t>
            </w:r>
            <w:r>
              <w:t>áca n</w:t>
            </w:r>
            <w:r w:rsidRPr="000E0C92">
              <w:t>a vedeckých článkoch z oblasti priestorového sluchového vnímania.</w:t>
            </w:r>
          </w:p>
          <w:p w:rsidR="000E0C92" w:rsidRPr="004B1D66" w:rsidRDefault="000E0C92" w:rsidP="007C0F74">
            <w:pPr>
              <w:jc w:val="both"/>
            </w:pPr>
          </w:p>
          <w:p w:rsidR="007C0F74" w:rsidRDefault="007C0F74" w:rsidP="007C0F74">
            <w:pPr>
              <w:jc w:val="both"/>
              <w:rPr>
                <w:b/>
              </w:rPr>
            </w:pPr>
            <w:r w:rsidRPr="00EA760B">
              <w:rPr>
                <w:b/>
              </w:rPr>
              <w:t>PP 4. Vývoj informačných systémov pre podporu riadenia vzdelávania, vedy a výskumu:</w:t>
            </w:r>
          </w:p>
          <w:p w:rsidR="007C0F74" w:rsidRDefault="00A225F0" w:rsidP="00242FF9">
            <w:pPr>
              <w:pStyle w:val="Odsekzoznamu"/>
              <w:numPr>
                <w:ilvl w:val="0"/>
                <w:numId w:val="7"/>
              </w:numPr>
              <w:jc w:val="both"/>
            </w:pPr>
            <w:r w:rsidRPr="00A225F0">
              <w:t xml:space="preserve">V sledovanom období neboli vykázané žiadne odpracované hodiny riešiteľov </w:t>
            </w:r>
            <w:r w:rsidRPr="00A225F0">
              <w:lastRenderedPageBreak/>
              <w:t>a teda sa nerealizovali žiadne práce na aktivite.</w:t>
            </w:r>
          </w:p>
          <w:p w:rsidR="00A225F0" w:rsidRPr="000412DC" w:rsidRDefault="00A225F0" w:rsidP="007C0F74">
            <w:pPr>
              <w:jc w:val="both"/>
            </w:pPr>
          </w:p>
          <w:p w:rsidR="007C0F74" w:rsidRDefault="007C0F74" w:rsidP="007C0F74">
            <w:pPr>
              <w:jc w:val="both"/>
              <w:rPr>
                <w:b/>
              </w:rPr>
            </w:pPr>
            <w:r w:rsidRPr="00EA760B">
              <w:rPr>
                <w:b/>
              </w:rPr>
              <w:t>PP 5. Výskum v oblasti reprezentácie a analýzy dát:</w:t>
            </w:r>
          </w:p>
          <w:p w:rsidR="009955F9" w:rsidRDefault="009955F9" w:rsidP="009955F9">
            <w:pPr>
              <w:pStyle w:val="Odsekzoznamu"/>
              <w:numPr>
                <w:ilvl w:val="0"/>
                <w:numId w:val="7"/>
              </w:numPr>
              <w:jc w:val="both"/>
            </w:pPr>
            <w:r>
              <w:t>Úprava návrhu metódy na identifikáciu domén využívajúcu fulltextový index pre čiastkový výstup "Metakatalóg produktov internetových obchodov"</w:t>
            </w:r>
          </w:p>
          <w:p w:rsidR="007C0F74" w:rsidRDefault="009955F9" w:rsidP="009955F9">
            <w:pPr>
              <w:pStyle w:val="Odsekzoznamu"/>
              <w:numPr>
                <w:ilvl w:val="0"/>
                <w:numId w:val="7"/>
              </w:numPr>
              <w:jc w:val="both"/>
            </w:pPr>
            <w:r>
              <w:t>Implementácia novej metódy na identifikáciu domén využívajúcu fulltextový index pre čiastkový výstup "Metakatalóg produktov internetových obchodov".</w:t>
            </w:r>
          </w:p>
          <w:p w:rsidR="009955F9" w:rsidRPr="00A84020" w:rsidRDefault="009955F9" w:rsidP="009955F9">
            <w:pPr>
              <w:jc w:val="both"/>
            </w:pPr>
          </w:p>
          <w:p w:rsidR="007C0F74" w:rsidRDefault="007C0F74" w:rsidP="007C0F74">
            <w:pPr>
              <w:jc w:val="both"/>
              <w:rPr>
                <w:b/>
              </w:rPr>
            </w:pPr>
            <w:r w:rsidRPr="00EA760B">
              <w:rPr>
                <w:b/>
              </w:rPr>
              <w:t>PP 6. Výskum a vývoj metód geoprocessingu v geopriestorových technológiách a službách:</w:t>
            </w:r>
          </w:p>
          <w:p w:rsidR="00204800" w:rsidRDefault="00242FF9" w:rsidP="00242FF9">
            <w:pPr>
              <w:pStyle w:val="Odsekzoznamu"/>
              <w:numPr>
                <w:ilvl w:val="0"/>
                <w:numId w:val="7"/>
              </w:numPr>
            </w:pPr>
            <w:r w:rsidRPr="00242FF9">
              <w:t>V sledovanom období neboli vykázané žiadne odpracované hodiny riešiteľov a teda sa nerealizovali žiadne práce na aktivite.</w:t>
            </w:r>
          </w:p>
          <w:p w:rsidR="00242FF9" w:rsidRDefault="00242FF9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7C0F74" w:rsidRDefault="007C0F74" w:rsidP="007C0F74">
            <w:pPr>
              <w:jc w:val="both"/>
              <w:rPr>
                <w:b/>
              </w:rPr>
            </w:pPr>
            <w:r w:rsidRPr="0077631A">
              <w:rPr>
                <w:b/>
              </w:rPr>
              <w:t>PP 1. Aplikovaný výskum v oblasti paralelného a distribuovaného počítania:</w:t>
            </w:r>
          </w:p>
          <w:p w:rsidR="007C3AA7" w:rsidRDefault="007C3AA7" w:rsidP="007C3AA7">
            <w:r w:rsidRPr="00242FF9">
              <w:t>V sledovanom období neboli vykázané žiadne odpracované hodiny riešiteľov a teda sa nerealizovali žiadne práce na aktivite.</w:t>
            </w:r>
          </w:p>
          <w:p w:rsidR="007C0F74" w:rsidRPr="001F670E" w:rsidRDefault="007C0F74" w:rsidP="007C0F74">
            <w:pPr>
              <w:jc w:val="both"/>
            </w:pPr>
          </w:p>
          <w:p w:rsidR="007C0F74" w:rsidRDefault="007C0F74" w:rsidP="007C0F74">
            <w:pPr>
              <w:jc w:val="both"/>
              <w:rPr>
                <w:b/>
              </w:rPr>
            </w:pPr>
            <w:r w:rsidRPr="00EA760B">
              <w:rPr>
                <w:b/>
              </w:rPr>
              <w:t>PP 2. Vývoj nástrojov a metód pre virtuálnu kolaboráciu:</w:t>
            </w:r>
          </w:p>
          <w:p w:rsidR="007C0F74" w:rsidRDefault="00CC7905" w:rsidP="007C0F74">
            <w:pPr>
              <w:jc w:val="both"/>
            </w:pPr>
            <w:r w:rsidRPr="00CC7905">
              <w:t>V rámci spolupráce na vývoji systému SeeVogh/ViewMe sa naďalej podieľame na vývoji novej funkcie vytvárania a editácie nových aj už existujúcich mítingov priamo v koncovej klientskej aplikácii ViewMe/SeeVogh. Ďalej pokračujeme vo vývoji univerzálneho prehrávača štandardných A/V formátov do prebiehajúceho mítingu, pričom sme zahájili jeho finálnu fázu návrhu OpenGL grafického užívateľského rozhrania. V rámci príprav na návrh inštalácie videokonferenčnej miestnosti sme začali so štúdiom dokumentácie a testovaním dodaného audio systému ClearOne CleaRoom 800.</w:t>
            </w:r>
          </w:p>
          <w:p w:rsidR="00CC7905" w:rsidRPr="005D3E73" w:rsidRDefault="00CC7905" w:rsidP="007C0F74">
            <w:pPr>
              <w:jc w:val="both"/>
            </w:pPr>
          </w:p>
          <w:p w:rsidR="007C0F74" w:rsidRDefault="007C0F74" w:rsidP="007C0F74">
            <w:pPr>
              <w:jc w:val="both"/>
              <w:rPr>
                <w:b/>
              </w:rPr>
            </w:pPr>
            <w:r w:rsidRPr="00EA760B">
              <w:rPr>
                <w:b/>
              </w:rPr>
              <w:t>PP 3. Výskum v oblasti inovatívnych interakcií človek-počítač:</w:t>
            </w:r>
          </w:p>
          <w:p w:rsidR="007C0F74" w:rsidRDefault="000E0C92" w:rsidP="007C0F74">
            <w:pPr>
              <w:jc w:val="both"/>
            </w:pPr>
            <w:r w:rsidRPr="000E0C92">
              <w:t>Pokračovali sme v príprave EEG experimentu na UPJŠ. Pracovali sme na článkoch o kontextuálnej plasticite v priestorovom sluchovom vnímaní. V spolupráci s University of Oldenburg sme podali článok „ITD-based modeling of speech localization in a multi-talker mixture using periodicity and energy-based auditory features“ (autori: Josupeit, Kopco and Hohmann) do časopisu Journal of the Acoustical Society of America.</w:t>
            </w:r>
          </w:p>
          <w:p w:rsidR="000E0C92" w:rsidRPr="004B1D66" w:rsidRDefault="000E0C92" w:rsidP="007C0F74">
            <w:pPr>
              <w:jc w:val="both"/>
            </w:pPr>
          </w:p>
          <w:p w:rsidR="007C0F74" w:rsidRDefault="007C0F74" w:rsidP="007C0F74">
            <w:pPr>
              <w:jc w:val="both"/>
              <w:rPr>
                <w:b/>
              </w:rPr>
            </w:pPr>
            <w:r w:rsidRPr="00EA760B">
              <w:rPr>
                <w:b/>
              </w:rPr>
              <w:t>PP 4. Vývoj informačných systémov pre podporu riadenia vzdelávania, vedy a výskumu:</w:t>
            </w:r>
          </w:p>
          <w:p w:rsidR="007C0F74" w:rsidRDefault="00242FF9" w:rsidP="007C0F74">
            <w:pPr>
              <w:jc w:val="both"/>
            </w:pPr>
            <w:r w:rsidRPr="00242FF9">
              <w:t>V sledovanom období neboli vykázané žiadne odpracované hodiny riešiteľov a teda sa nerealizovali žiadne práce na aktivite.</w:t>
            </w:r>
          </w:p>
          <w:p w:rsidR="00242FF9" w:rsidRPr="000412DC" w:rsidRDefault="00242FF9" w:rsidP="007C0F74">
            <w:pPr>
              <w:jc w:val="both"/>
            </w:pPr>
          </w:p>
          <w:p w:rsidR="007C0F74" w:rsidRDefault="007C0F74" w:rsidP="007C0F74">
            <w:pPr>
              <w:jc w:val="both"/>
              <w:rPr>
                <w:b/>
              </w:rPr>
            </w:pPr>
            <w:r w:rsidRPr="00EA760B">
              <w:rPr>
                <w:b/>
              </w:rPr>
              <w:t>PP 5. Výskum v oblasti reprezentácie a analýzy dát:</w:t>
            </w:r>
          </w:p>
          <w:p w:rsidR="009955F9" w:rsidRDefault="009955F9" w:rsidP="009955F9">
            <w:pPr>
              <w:jc w:val="both"/>
            </w:pPr>
            <w:r>
              <w:t xml:space="preserve">V čiastkovom výstupe "Metakatalóg produktov internetových obchodov" sme </w:t>
            </w:r>
          </w:p>
          <w:p w:rsidR="009955F9" w:rsidRDefault="009955F9" w:rsidP="009955F9">
            <w:pPr>
              <w:jc w:val="both"/>
            </w:pPr>
            <w:r>
              <w:t xml:space="preserve">navrhli a implementovali modifikovanú metódu na identifikáciu domén </w:t>
            </w:r>
          </w:p>
          <w:p w:rsidR="007C0F74" w:rsidRDefault="009955F9" w:rsidP="009955F9">
            <w:pPr>
              <w:jc w:val="both"/>
            </w:pPr>
            <w:r>
              <w:t>využívajúcu fulltextový index.</w:t>
            </w:r>
          </w:p>
          <w:p w:rsidR="009955F9" w:rsidRPr="00A84020" w:rsidRDefault="009955F9" w:rsidP="009955F9">
            <w:pPr>
              <w:jc w:val="both"/>
            </w:pPr>
          </w:p>
          <w:p w:rsidR="009262DA" w:rsidRDefault="007C0F74" w:rsidP="007C0F74">
            <w:pPr>
              <w:rPr>
                <w:u w:val="single"/>
              </w:rPr>
            </w:pPr>
            <w:r w:rsidRPr="00EA760B">
              <w:rPr>
                <w:b/>
              </w:rPr>
              <w:t>PP 6. Výskum a vývoj metód geoprocessingu v geopriestorových technológiách a službách:</w:t>
            </w:r>
          </w:p>
          <w:p w:rsidR="007C0F74" w:rsidRPr="00242FF9" w:rsidRDefault="00242FF9" w:rsidP="00204800">
            <w:r w:rsidRPr="00242FF9">
              <w:t xml:space="preserve">V sledovanom období neboli vykázané žiadne odpracované hodiny riešiteľov a teda </w:t>
            </w:r>
            <w:r w:rsidRPr="00242FF9">
              <w:lastRenderedPageBreak/>
              <w:t>sa nerealizovali žiadne práce na aktivite.</w:t>
            </w:r>
          </w:p>
          <w:p w:rsidR="00242FF9" w:rsidRPr="00242FF9" w:rsidRDefault="00242FF9" w:rsidP="00204800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0D2725" w:rsidRDefault="000D2725" w:rsidP="007C0F74">
            <w:r w:rsidRPr="000D2725">
              <w:t>Dosiahnuté výsledky jednotlivých PP sú popísané vyššie v častiach „Vecný pokrok v realizácii aktivity podľa PP“ a „Stručný popis pokroku vo výskumných činnostiach podľa PP“.</w:t>
            </w:r>
          </w:p>
          <w:p w:rsidR="000D2725" w:rsidRDefault="000D2725" w:rsidP="007C0F74">
            <w:r>
              <w:t xml:space="preserve"> </w:t>
            </w: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B43D9E" w:rsidP="005F0BD5">
            <w:r w:rsidRPr="00B43D9E">
              <w:t>Oneskorenie realizácie stavby</w:t>
            </w:r>
            <w:r>
              <w:t>, ktoré má vplyv na inštaláciu obstaraného prístrojového vybavenia a jeho využívania na realizáciu aplikovaného výskumu.</w:t>
            </w:r>
          </w:p>
          <w:p w:rsidR="00B43D9E" w:rsidRDefault="00B43D9E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516656" w:rsidP="005F0BD5">
            <w:r w:rsidRPr="00516656">
              <w:t>Realizácia projektovej aktivity je v súlade s upraveným plánom.</w:t>
            </w:r>
          </w:p>
          <w:p w:rsidR="00516656" w:rsidRDefault="00516656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lastRenderedPageBreak/>
              <w:t>Aktivita 3.7 Pilotné projekty PU v Prešove v odbore Environmentálne inžinierstvo</w:t>
            </w:r>
          </w:p>
          <w:p w:rsidR="00E12A9A" w:rsidRPr="006D6EB3" w:rsidRDefault="00E12A9A" w:rsidP="005F0BD5">
            <w:r w:rsidRPr="00E12A9A">
              <w:t>(prof. RNDr. Marián Reiffers, DrSc.)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9262DA" w:rsidRDefault="009262DA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5201F" w:rsidTr="003272E8">
        <w:tc>
          <w:tcPr>
            <w:tcW w:w="10490" w:type="dxa"/>
            <w:gridSpan w:val="2"/>
            <w:shd w:val="clear" w:color="auto" w:fill="9BD4F9" w:themeFill="background2" w:themeFillShade="E6"/>
            <w:vAlign w:val="bottom"/>
          </w:tcPr>
          <w:p w:rsidR="0065201F" w:rsidRPr="0065201F" w:rsidRDefault="0065201F" w:rsidP="0065201F">
            <w:pPr>
              <w:jc w:val="center"/>
              <w:rPr>
                <w:b/>
              </w:rPr>
            </w:pPr>
            <w:r w:rsidRPr="0065201F">
              <w:rPr>
                <w:b/>
              </w:rPr>
              <w:t>Podporné aktivity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>
              <w:t>Riadenie projektu</w:t>
            </w:r>
          </w:p>
        </w:tc>
        <w:tc>
          <w:tcPr>
            <w:tcW w:w="7830" w:type="dxa"/>
          </w:tcPr>
          <w:p w:rsidR="00EA150F" w:rsidRDefault="00791216" w:rsidP="00791216">
            <w:r w:rsidRPr="00791216">
              <w:t xml:space="preserve">V mesiaci </w:t>
            </w:r>
            <w:r>
              <w:t>október</w:t>
            </w:r>
            <w:r w:rsidRPr="00791216">
              <w:t xml:space="preserve"> prebiehali štandardné práce spojené s riadením projektu. V úzkej spolupráci so stavebným dozorom, projektantom a dodávateľom stavebných prác boli riešené otázky týkajúce sa realizácie stavby. Vzhľadom na ďalšiu dodávku IKT zariadení prebiehali činnosti spojené s ich evidenciou, poistením a rozdelením medzi výskumníkov. Zároveň prebiehala komunikácia do vnútra univerzity s cieľom zabezpečiť úspešné ukončenie projektu a čo najplynulejšiu realizáciu stavebných prác.</w:t>
            </w:r>
          </w:p>
        </w:tc>
      </w:tr>
      <w:tr w:rsidR="00EA150F" w:rsidTr="003272E8">
        <w:tc>
          <w:tcPr>
            <w:tcW w:w="2660" w:type="dxa"/>
            <w:shd w:val="clear" w:color="auto" w:fill="9BD4F9" w:themeFill="background2" w:themeFillShade="E6"/>
          </w:tcPr>
          <w:p w:rsidR="00EA150F" w:rsidRDefault="006D6EB3" w:rsidP="005F0BD5">
            <w:r w:rsidRPr="006D6EB3">
              <w:t>Publicita a informovanosť</w:t>
            </w:r>
          </w:p>
        </w:tc>
        <w:tc>
          <w:tcPr>
            <w:tcW w:w="7830" w:type="dxa"/>
          </w:tcPr>
          <w:p w:rsidR="00EA150F" w:rsidRDefault="00791216" w:rsidP="005F0BD5">
            <w:r w:rsidRPr="00791216">
              <w:t>V mesiaci august neboli realizované žiadne aktivity týkajúce sa publicity.</w:t>
            </w:r>
          </w:p>
          <w:p w:rsidR="00EA150F" w:rsidRDefault="00EA150F" w:rsidP="005F0BD5"/>
        </w:tc>
      </w:tr>
    </w:tbl>
    <w:p w:rsidR="0065201F" w:rsidRDefault="0065201F" w:rsidP="005F0BD5"/>
    <w:p w:rsidR="0065201F" w:rsidRDefault="0065201F" w:rsidP="005F0BD5"/>
    <w:p w:rsidR="0065201F" w:rsidRDefault="0065201F" w:rsidP="005F0BD5"/>
    <w:p w:rsidR="0065201F" w:rsidRDefault="0065201F" w:rsidP="005F0BD5"/>
    <w:p w:rsidR="0065201F" w:rsidRDefault="0065201F" w:rsidP="005F0BD5"/>
    <w:p w:rsidR="0065201F" w:rsidRDefault="0065201F" w:rsidP="005F0BD5"/>
    <w:p w:rsidR="00EA150F" w:rsidRDefault="00EA150F" w:rsidP="005F0BD5"/>
    <w:p w:rsidR="00755127" w:rsidRDefault="00755127" w:rsidP="005F0BD5"/>
    <w:p w:rsidR="00755127" w:rsidRDefault="00755127" w:rsidP="005F0BD5"/>
    <w:p w:rsidR="00755127" w:rsidRDefault="00755127" w:rsidP="005F0BD5"/>
    <w:p w:rsidR="00755127" w:rsidRDefault="00755127" w:rsidP="005F0BD5"/>
    <w:p w:rsidR="00755127" w:rsidRDefault="00755127" w:rsidP="005F0BD5"/>
    <w:p w:rsidR="00755127" w:rsidRDefault="00755127" w:rsidP="005F0BD5"/>
    <w:p w:rsidR="00647E2E" w:rsidRDefault="00647E2E" w:rsidP="005F0BD5"/>
    <w:p w:rsidR="00EA150F" w:rsidRPr="00EA150F" w:rsidRDefault="00EA150F" w:rsidP="005F0BD5">
      <w:r>
        <w:lastRenderedPageBreak/>
        <w:t>_________________</w:t>
      </w:r>
    </w:p>
    <w:p w:rsidR="00EA150F" w:rsidRDefault="00EA150F" w:rsidP="005F0BD5">
      <w:pPr>
        <w:rPr>
          <w:rFonts w:ascii="Arial Narrow" w:hAnsi="Arial Narrow"/>
          <w:sz w:val="18"/>
          <w:szCs w:val="18"/>
        </w:rPr>
      </w:pPr>
      <w:r>
        <w:rPr>
          <w:rFonts w:eastAsiaTheme="minorEastAsia"/>
          <w:bCs/>
          <w:iCs/>
          <w:noProof/>
          <w:vertAlign w:val="superscript"/>
          <w:lang w:eastAsia="sk-SK"/>
        </w:rPr>
        <w:t xml:space="preserve">1 </w:t>
      </w:r>
      <w:r>
        <w:rPr>
          <w:rFonts w:ascii="Arial Narrow" w:hAnsi="Arial Narrow"/>
          <w:sz w:val="18"/>
          <w:szCs w:val="18"/>
        </w:rPr>
        <w:t>Stručný</w:t>
      </w:r>
      <w:r w:rsidRPr="00E156FE">
        <w:rPr>
          <w:rFonts w:ascii="Arial Narrow" w:hAnsi="Arial Narrow"/>
          <w:sz w:val="18"/>
          <w:szCs w:val="18"/>
        </w:rPr>
        <w:t xml:space="preserve"> p</w:t>
      </w:r>
      <w:r>
        <w:rPr>
          <w:rFonts w:ascii="Arial Narrow" w:hAnsi="Arial Narrow"/>
          <w:sz w:val="18"/>
          <w:szCs w:val="18"/>
        </w:rPr>
        <w:t xml:space="preserve">opis </w:t>
      </w:r>
      <w:r w:rsidRPr="00E156FE">
        <w:rPr>
          <w:rFonts w:ascii="Arial Narrow" w:hAnsi="Arial Narrow"/>
          <w:sz w:val="18"/>
          <w:szCs w:val="18"/>
        </w:rPr>
        <w:t>realizáci</w:t>
      </w:r>
      <w:r>
        <w:rPr>
          <w:rFonts w:ascii="Arial Narrow" w:hAnsi="Arial Narrow"/>
          <w:sz w:val="18"/>
          <w:szCs w:val="18"/>
        </w:rPr>
        <w:t>e</w:t>
      </w:r>
      <w:r w:rsidRPr="00E156FE">
        <w:rPr>
          <w:rFonts w:ascii="Arial Narrow" w:hAnsi="Arial Narrow"/>
          <w:sz w:val="18"/>
          <w:szCs w:val="18"/>
        </w:rPr>
        <w:t xml:space="preserve"> príslušnej aktivity projektu: súčasný stav verejného obstarávania,</w:t>
      </w:r>
      <w:r>
        <w:rPr>
          <w:rFonts w:ascii="Arial Narrow" w:hAnsi="Arial Narrow"/>
          <w:sz w:val="18"/>
          <w:szCs w:val="18"/>
        </w:rPr>
        <w:t xml:space="preserve"> pokrok v stavebných činnostiach, v dodaní tovarov a služieb, </w:t>
      </w:r>
      <w:r w:rsidR="0023192C">
        <w:rPr>
          <w:rFonts w:ascii="Arial Narrow" w:hAnsi="Arial Narrow"/>
          <w:sz w:val="18"/>
          <w:szCs w:val="18"/>
        </w:rPr>
        <w:t xml:space="preserve">stručný popis pokroku vo výskumných činnostiach, </w:t>
      </w:r>
      <w:r w:rsidRPr="00E156FE">
        <w:rPr>
          <w:rFonts w:ascii="Arial Narrow" w:hAnsi="Arial Narrow"/>
          <w:sz w:val="18"/>
          <w:szCs w:val="18"/>
        </w:rPr>
        <w:t xml:space="preserve"> dosiahnuté výsledky aktivity a pod.</w:t>
      </w:r>
      <w:r w:rsidR="0023192C">
        <w:rPr>
          <w:rFonts w:ascii="Arial Narrow" w:hAnsi="Arial Narrow"/>
          <w:sz w:val="18"/>
          <w:szCs w:val="18"/>
        </w:rPr>
        <w:t xml:space="preserve"> zároveň je nevyhnutné uviesť rizikové oblasti. </w:t>
      </w:r>
      <w:r w:rsidRPr="00E156FE">
        <w:rPr>
          <w:rFonts w:ascii="Arial Narrow" w:hAnsi="Arial Narrow"/>
          <w:sz w:val="18"/>
          <w:szCs w:val="18"/>
        </w:rPr>
        <w:t>Ak je realizácia aktivít v</w:t>
      </w:r>
      <w:r>
        <w:rPr>
          <w:rFonts w:ascii="Arial Narrow" w:hAnsi="Arial Narrow"/>
          <w:sz w:val="18"/>
          <w:szCs w:val="18"/>
        </w:rPr>
        <w:t> </w:t>
      </w:r>
      <w:r w:rsidRPr="00E156FE">
        <w:rPr>
          <w:rFonts w:ascii="Arial Narrow" w:hAnsi="Arial Narrow"/>
          <w:sz w:val="18"/>
          <w:szCs w:val="18"/>
        </w:rPr>
        <w:t>omeškaní</w:t>
      </w:r>
      <w:r>
        <w:rPr>
          <w:rFonts w:ascii="Arial Narrow" w:hAnsi="Arial Narrow"/>
          <w:sz w:val="18"/>
          <w:szCs w:val="18"/>
        </w:rPr>
        <w:t>, je potrebné uviesť</w:t>
      </w:r>
      <w:r w:rsidR="0023192C">
        <w:rPr>
          <w:rFonts w:ascii="Arial Narrow" w:hAnsi="Arial Narrow"/>
          <w:sz w:val="18"/>
          <w:szCs w:val="18"/>
        </w:rPr>
        <w:t xml:space="preserve"> dôvody omeškania a aké boli prijaté opatrenia. </w:t>
      </w:r>
      <w:r w:rsidRPr="00E156FE">
        <w:rPr>
          <w:rFonts w:ascii="Arial Narrow" w:hAnsi="Arial Narrow"/>
          <w:sz w:val="18"/>
          <w:szCs w:val="18"/>
        </w:rPr>
        <w:t xml:space="preserve"> V prípade, že je aktivita ukončená</w:t>
      </w:r>
      <w:r>
        <w:rPr>
          <w:rFonts w:ascii="Arial Narrow" w:hAnsi="Arial Narrow"/>
          <w:sz w:val="18"/>
          <w:szCs w:val="18"/>
        </w:rPr>
        <w:t xml:space="preserve">, uviesť </w:t>
      </w:r>
      <w:r w:rsidRPr="00E156FE">
        <w:rPr>
          <w:rFonts w:ascii="Arial Narrow" w:hAnsi="Arial Narrow"/>
          <w:sz w:val="18"/>
          <w:szCs w:val="18"/>
        </w:rPr>
        <w:t>len text „UKONČENÁ“</w:t>
      </w:r>
      <w:r>
        <w:rPr>
          <w:rFonts w:ascii="Arial Narrow" w:hAnsi="Arial Narrow"/>
          <w:sz w:val="18"/>
          <w:szCs w:val="18"/>
        </w:rPr>
        <w:t>.</w:t>
      </w:r>
    </w:p>
    <w:p w:rsidR="00755127" w:rsidRPr="00755127" w:rsidRDefault="00755127" w:rsidP="005F0BD5">
      <w:pPr>
        <w:rPr>
          <w:rFonts w:eastAsiaTheme="minorEastAsia"/>
          <w:bCs/>
          <w:iCs/>
          <w:noProof/>
          <w:lang w:eastAsia="sk-SK"/>
        </w:rPr>
      </w:pPr>
    </w:p>
    <w:p w:rsidR="00233ED8" w:rsidRDefault="00EF13F2" w:rsidP="005F0BD5">
      <w:pPr>
        <w:rPr>
          <w:rFonts w:eastAsiaTheme="minorEastAsia"/>
          <w:bCs/>
          <w:iCs/>
          <w:noProof/>
          <w:lang w:eastAsia="sk-SK"/>
        </w:rPr>
      </w:pPr>
      <w:r>
        <w:rPr>
          <w:rFonts w:eastAsiaTheme="minorEastAsia"/>
          <w:bCs/>
          <w:iCs/>
          <w:noProof/>
          <w:lang w:eastAsia="sk-SK"/>
        </w:rPr>
        <w:t xml:space="preserve">3. Finančný pokrok v realizácii aktivít </w:t>
      </w: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1845"/>
        <w:gridCol w:w="2833"/>
        <w:gridCol w:w="2835"/>
        <w:gridCol w:w="2977"/>
      </w:tblGrid>
      <w:tr w:rsidR="00233ED8" w:rsidRPr="00AC67D9" w:rsidTr="007C0F74">
        <w:tc>
          <w:tcPr>
            <w:tcW w:w="10490" w:type="dxa"/>
            <w:gridSpan w:val="4"/>
            <w:shd w:val="clear" w:color="auto" w:fill="9BD4F9" w:themeFill="background2" w:themeFillShade="E6"/>
            <w:vAlign w:val="center"/>
          </w:tcPr>
          <w:p w:rsidR="00233ED8" w:rsidRPr="00AC67D9" w:rsidRDefault="00233ED8" w:rsidP="007C0F74">
            <w:pPr>
              <w:jc w:val="center"/>
              <w:rPr>
                <w:rFonts w:eastAsiaTheme="minorEastAsia"/>
                <w:b/>
                <w:bCs/>
                <w:iCs/>
                <w:noProof/>
                <w:lang w:eastAsia="sk-SK"/>
              </w:rPr>
            </w:pPr>
            <w:r w:rsidRPr="00AC67D9">
              <w:rPr>
                <w:rFonts w:eastAsiaTheme="minorEastAsia"/>
                <w:b/>
                <w:bCs/>
                <w:iCs/>
                <w:noProof/>
                <w:lang w:eastAsia="sk-SK"/>
              </w:rPr>
              <w:t>Finančný pokrok v realizácii aktivít</w:t>
            </w:r>
            <w:r>
              <w:rPr>
                <w:rFonts w:eastAsiaTheme="minorEastAsia"/>
                <w:b/>
                <w:bCs/>
                <w:iCs/>
                <w:noProof/>
                <w:vertAlign w:val="superscript"/>
                <w:lang w:eastAsia="sk-SK"/>
              </w:rPr>
              <w:t>2</w:t>
            </w:r>
          </w:p>
        </w:tc>
      </w:tr>
      <w:tr w:rsidR="00233ED8" w:rsidRPr="0065201F" w:rsidTr="007C0F74"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233ED8" w:rsidRPr="0065201F" w:rsidRDefault="00233ED8" w:rsidP="007C0F74">
            <w:pPr>
              <w:jc w:val="center"/>
              <w:rPr>
                <w:b/>
              </w:rPr>
            </w:pPr>
            <w:r w:rsidRPr="0065201F">
              <w:rPr>
                <w:b/>
              </w:rPr>
              <w:t>Hlavné aktivity</w:t>
            </w:r>
          </w:p>
        </w:tc>
      </w:tr>
      <w:tr w:rsidR="00233ED8" w:rsidTr="007C0F7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233ED8" w:rsidRPr="00430090" w:rsidRDefault="00233ED8" w:rsidP="007C0F74">
            <w:pPr>
              <w:jc w:val="center"/>
              <w:rPr>
                <w:b/>
              </w:rPr>
            </w:pPr>
            <w:r>
              <w:rPr>
                <w:b/>
              </w:rPr>
              <w:t xml:space="preserve">Názov aktivity </w:t>
            </w:r>
          </w:p>
        </w:tc>
        <w:tc>
          <w:tcPr>
            <w:tcW w:w="2833" w:type="dxa"/>
            <w:shd w:val="clear" w:color="auto" w:fill="9BD4F9" w:themeFill="background2" w:themeFillShade="E6"/>
          </w:tcPr>
          <w:p w:rsidR="00233ED8" w:rsidRPr="00430090" w:rsidRDefault="00233ED8" w:rsidP="007C0F74">
            <w:pPr>
              <w:jc w:val="center"/>
              <w:rPr>
                <w:b/>
              </w:rPr>
            </w:pPr>
            <w:r w:rsidRPr="00430090">
              <w:rPr>
                <w:b/>
              </w:rPr>
              <w:t xml:space="preserve">Vyčerpaná </w:t>
            </w:r>
            <w:r>
              <w:rPr>
                <w:b/>
              </w:rPr>
              <w:t>s</w:t>
            </w:r>
            <w:r w:rsidRPr="00430090">
              <w:rPr>
                <w:b/>
              </w:rPr>
              <w:t>uma NFP</w:t>
            </w:r>
          </w:p>
        </w:tc>
        <w:tc>
          <w:tcPr>
            <w:tcW w:w="2835" w:type="dxa"/>
            <w:shd w:val="clear" w:color="auto" w:fill="9BD4F9" w:themeFill="background2" w:themeFillShade="E6"/>
          </w:tcPr>
          <w:p w:rsidR="00233ED8" w:rsidRPr="00430090" w:rsidRDefault="00233ED8" w:rsidP="007C0F74">
            <w:pPr>
              <w:jc w:val="center"/>
              <w:rPr>
                <w:b/>
              </w:rPr>
            </w:pPr>
            <w:r w:rsidRPr="00430090">
              <w:rPr>
                <w:b/>
              </w:rPr>
              <w:t>Zostatok</w:t>
            </w:r>
          </w:p>
        </w:tc>
        <w:tc>
          <w:tcPr>
            <w:tcW w:w="2977" w:type="dxa"/>
            <w:shd w:val="clear" w:color="auto" w:fill="9BD4F9" w:themeFill="background2" w:themeFillShade="E6"/>
          </w:tcPr>
          <w:p w:rsidR="00233ED8" w:rsidRPr="00430090" w:rsidRDefault="00233ED8" w:rsidP="007C0F74">
            <w:pPr>
              <w:jc w:val="center"/>
              <w:rPr>
                <w:b/>
              </w:rPr>
            </w:pPr>
            <w:r>
              <w:rPr>
                <w:b/>
              </w:rPr>
              <w:t>Odhad nedočerpania</w:t>
            </w:r>
          </w:p>
        </w:tc>
      </w:tr>
      <w:tr w:rsidR="00233ED8" w:rsidTr="007C0F74">
        <w:tc>
          <w:tcPr>
            <w:tcW w:w="1845" w:type="dxa"/>
            <w:shd w:val="clear" w:color="auto" w:fill="9BD4F9" w:themeFill="background2" w:themeFillShade="E6"/>
          </w:tcPr>
          <w:p w:rsidR="00233ED8" w:rsidRDefault="00233ED8" w:rsidP="007C0F74">
            <w:r w:rsidRPr="006D6EB3">
              <w:t>Aktivita 1.1 Etablovanie UVP TECHNICOM v súlade s adekvátnymi princípmi vedeckého manažmentu.</w:t>
            </w:r>
          </w:p>
        </w:tc>
        <w:tc>
          <w:tcPr>
            <w:tcW w:w="2833" w:type="dxa"/>
            <w:vAlign w:val="center"/>
          </w:tcPr>
          <w:p w:rsidR="00233ED8" w:rsidRDefault="00233ED8" w:rsidP="007C0F74">
            <w:pPr>
              <w:jc w:val="right"/>
            </w:pPr>
            <w:r w:rsidRPr="00656341">
              <w:t>2641,1</w:t>
            </w:r>
            <w:r>
              <w:t>0</w:t>
            </w:r>
          </w:p>
        </w:tc>
        <w:tc>
          <w:tcPr>
            <w:tcW w:w="2835" w:type="dxa"/>
            <w:vAlign w:val="center"/>
          </w:tcPr>
          <w:p w:rsidR="00233ED8" w:rsidRDefault="00233ED8" w:rsidP="007C0F74">
            <w:pPr>
              <w:jc w:val="right"/>
            </w:pPr>
            <w:r w:rsidRPr="00E62E1B">
              <w:t xml:space="preserve">14 550,10   </w:t>
            </w:r>
          </w:p>
        </w:tc>
        <w:tc>
          <w:tcPr>
            <w:tcW w:w="2977" w:type="dxa"/>
            <w:vAlign w:val="center"/>
          </w:tcPr>
          <w:p w:rsidR="00233ED8" w:rsidRDefault="00233ED8" w:rsidP="007C0F74">
            <w:pPr>
              <w:jc w:val="right"/>
            </w:pPr>
          </w:p>
        </w:tc>
      </w:tr>
      <w:tr w:rsidR="00233ED8" w:rsidTr="007C0F74">
        <w:tc>
          <w:tcPr>
            <w:tcW w:w="1845" w:type="dxa"/>
            <w:shd w:val="clear" w:color="auto" w:fill="9BD4F9" w:themeFill="background2" w:themeFillShade="E6"/>
          </w:tcPr>
          <w:p w:rsidR="00233ED8" w:rsidRDefault="00233ED8" w:rsidP="007C0F74">
            <w:r w:rsidRPr="006D6EB3">
              <w:t>Aktivita 1.2 Metodická, odborná a realizačná podpora riešenia predkladaného projektu</w:t>
            </w:r>
          </w:p>
        </w:tc>
        <w:tc>
          <w:tcPr>
            <w:tcW w:w="2833" w:type="dxa"/>
            <w:vAlign w:val="center"/>
          </w:tcPr>
          <w:p w:rsidR="00233ED8" w:rsidRDefault="00233ED8" w:rsidP="007C0F74">
            <w:pPr>
              <w:jc w:val="right"/>
            </w:pPr>
            <w:r w:rsidRPr="00656341">
              <w:t>1912,34</w:t>
            </w:r>
          </w:p>
        </w:tc>
        <w:tc>
          <w:tcPr>
            <w:tcW w:w="2835" w:type="dxa"/>
            <w:vAlign w:val="center"/>
          </w:tcPr>
          <w:p w:rsidR="00233ED8" w:rsidRDefault="00233ED8" w:rsidP="007C0F74">
            <w:pPr>
              <w:jc w:val="right"/>
            </w:pPr>
            <w:r w:rsidRPr="00E62E1B">
              <w:t>11 240,60</w:t>
            </w:r>
          </w:p>
        </w:tc>
        <w:tc>
          <w:tcPr>
            <w:tcW w:w="2977" w:type="dxa"/>
            <w:vAlign w:val="center"/>
          </w:tcPr>
          <w:p w:rsidR="00233ED8" w:rsidRDefault="00233ED8" w:rsidP="007C0F74">
            <w:pPr>
              <w:jc w:val="right"/>
            </w:pPr>
          </w:p>
        </w:tc>
      </w:tr>
      <w:tr w:rsidR="00233ED8" w:rsidTr="007C0F74">
        <w:tc>
          <w:tcPr>
            <w:tcW w:w="1845" w:type="dxa"/>
            <w:shd w:val="clear" w:color="auto" w:fill="9BD4F9" w:themeFill="background2" w:themeFillShade="E6"/>
          </w:tcPr>
          <w:p w:rsidR="00233ED8" w:rsidRDefault="00233ED8" w:rsidP="007C0F74">
            <w:r w:rsidRPr="006D6EB3">
              <w:t>Aktivita 1.3 Príprava a zabezpečenie služieb pre udržateľný chod UVP TECHNICOM</w:t>
            </w:r>
          </w:p>
        </w:tc>
        <w:tc>
          <w:tcPr>
            <w:tcW w:w="2833" w:type="dxa"/>
            <w:vAlign w:val="center"/>
          </w:tcPr>
          <w:p w:rsidR="00233ED8" w:rsidRDefault="00233ED8" w:rsidP="007C0F74">
            <w:pPr>
              <w:jc w:val="right"/>
            </w:pPr>
            <w:r w:rsidRPr="00656341">
              <w:t>2426,68</w:t>
            </w:r>
          </w:p>
        </w:tc>
        <w:tc>
          <w:tcPr>
            <w:tcW w:w="2835" w:type="dxa"/>
            <w:vAlign w:val="center"/>
          </w:tcPr>
          <w:p w:rsidR="00233ED8" w:rsidRDefault="00233ED8" w:rsidP="007C0F74">
            <w:pPr>
              <w:jc w:val="right"/>
            </w:pPr>
            <w:r w:rsidRPr="00E62E1B">
              <w:t>16 196,59</w:t>
            </w:r>
          </w:p>
        </w:tc>
        <w:tc>
          <w:tcPr>
            <w:tcW w:w="2977" w:type="dxa"/>
            <w:vAlign w:val="center"/>
          </w:tcPr>
          <w:p w:rsidR="00233ED8" w:rsidRDefault="00233ED8" w:rsidP="007C0F74">
            <w:pPr>
              <w:jc w:val="right"/>
            </w:pPr>
          </w:p>
        </w:tc>
      </w:tr>
      <w:tr w:rsidR="00233ED8" w:rsidTr="007C0F74">
        <w:tc>
          <w:tcPr>
            <w:tcW w:w="1845" w:type="dxa"/>
            <w:shd w:val="clear" w:color="auto" w:fill="9BD4F9" w:themeFill="background2" w:themeFillShade="E6"/>
          </w:tcPr>
          <w:p w:rsidR="00233ED8" w:rsidRDefault="00233ED8" w:rsidP="007C0F74">
            <w:r w:rsidRPr="006D6EB3">
              <w:t>Aktivita 2.1. Vybudovanie stavebných objektov a príslušnej infraštruktúry v areáli TUKE</w:t>
            </w:r>
          </w:p>
        </w:tc>
        <w:tc>
          <w:tcPr>
            <w:tcW w:w="2833" w:type="dxa"/>
            <w:vAlign w:val="center"/>
          </w:tcPr>
          <w:p w:rsidR="00233ED8" w:rsidRDefault="00233ED8" w:rsidP="007C0F74">
            <w:pPr>
              <w:jc w:val="right"/>
            </w:pPr>
          </w:p>
        </w:tc>
        <w:tc>
          <w:tcPr>
            <w:tcW w:w="2835" w:type="dxa"/>
            <w:vAlign w:val="center"/>
          </w:tcPr>
          <w:p w:rsidR="00233ED8" w:rsidRDefault="00233ED8" w:rsidP="007C0F74">
            <w:pPr>
              <w:jc w:val="right"/>
            </w:pPr>
          </w:p>
        </w:tc>
        <w:tc>
          <w:tcPr>
            <w:tcW w:w="2977" w:type="dxa"/>
            <w:vAlign w:val="center"/>
          </w:tcPr>
          <w:p w:rsidR="00233ED8" w:rsidRDefault="00233ED8" w:rsidP="007C0F74">
            <w:pPr>
              <w:jc w:val="right"/>
            </w:pPr>
          </w:p>
        </w:tc>
      </w:tr>
      <w:tr w:rsidR="00233ED8" w:rsidTr="007C0F74">
        <w:tc>
          <w:tcPr>
            <w:tcW w:w="1845" w:type="dxa"/>
            <w:shd w:val="clear" w:color="auto" w:fill="9BD4F9" w:themeFill="background2" w:themeFillShade="E6"/>
          </w:tcPr>
          <w:p w:rsidR="00233ED8" w:rsidRDefault="00233ED8" w:rsidP="007C0F74">
            <w:r w:rsidRPr="006D6EB3">
              <w:t>Aktivita 2.2. Vybavenie objektov UVP na TUKE prístrojovou, IKT a špecializovanou technikou pre potreby VaV</w:t>
            </w:r>
          </w:p>
        </w:tc>
        <w:tc>
          <w:tcPr>
            <w:tcW w:w="2833" w:type="dxa"/>
            <w:vAlign w:val="center"/>
          </w:tcPr>
          <w:p w:rsidR="00233ED8" w:rsidRDefault="00233ED8" w:rsidP="007C0F74">
            <w:pPr>
              <w:jc w:val="right"/>
            </w:pPr>
          </w:p>
        </w:tc>
        <w:tc>
          <w:tcPr>
            <w:tcW w:w="2835" w:type="dxa"/>
            <w:vAlign w:val="center"/>
          </w:tcPr>
          <w:p w:rsidR="00233ED8" w:rsidRDefault="00233ED8" w:rsidP="007C0F74">
            <w:pPr>
              <w:jc w:val="right"/>
            </w:pPr>
          </w:p>
        </w:tc>
        <w:tc>
          <w:tcPr>
            <w:tcW w:w="2977" w:type="dxa"/>
            <w:vAlign w:val="center"/>
          </w:tcPr>
          <w:p w:rsidR="00233ED8" w:rsidRDefault="00233ED8" w:rsidP="007C0F74">
            <w:pPr>
              <w:jc w:val="right"/>
            </w:pPr>
          </w:p>
        </w:tc>
      </w:tr>
      <w:tr w:rsidR="00233ED8" w:rsidTr="007C0F74">
        <w:tc>
          <w:tcPr>
            <w:tcW w:w="1845" w:type="dxa"/>
            <w:shd w:val="clear" w:color="auto" w:fill="9BD4F9" w:themeFill="background2" w:themeFillShade="E6"/>
          </w:tcPr>
          <w:p w:rsidR="00233ED8" w:rsidRDefault="00233ED8" w:rsidP="007C0F74">
            <w:r w:rsidRPr="006D6EB3">
              <w:t xml:space="preserve">Aktivita 2.3 Nadstavba, zateplenie a modernizácia časti UVP </w:t>
            </w:r>
            <w:r w:rsidRPr="006D6EB3">
              <w:lastRenderedPageBreak/>
              <w:t>TECHNICOM na Jesennej 5 v Košiciach</w:t>
            </w:r>
          </w:p>
        </w:tc>
        <w:tc>
          <w:tcPr>
            <w:tcW w:w="2833" w:type="dxa"/>
            <w:vAlign w:val="center"/>
          </w:tcPr>
          <w:p w:rsidR="00233ED8" w:rsidRDefault="00233ED8" w:rsidP="007C0F74">
            <w:pPr>
              <w:jc w:val="right"/>
            </w:pPr>
            <w:r w:rsidRPr="004045FD">
              <w:lastRenderedPageBreak/>
              <w:t>51 680,68</w:t>
            </w:r>
          </w:p>
        </w:tc>
        <w:tc>
          <w:tcPr>
            <w:tcW w:w="2835" w:type="dxa"/>
            <w:vAlign w:val="center"/>
          </w:tcPr>
          <w:p w:rsidR="00233ED8" w:rsidRDefault="00233ED8" w:rsidP="007C0F74">
            <w:pPr>
              <w:jc w:val="right"/>
            </w:pPr>
            <w:r w:rsidRPr="004045FD">
              <w:t>697 891,38</w:t>
            </w:r>
          </w:p>
        </w:tc>
        <w:tc>
          <w:tcPr>
            <w:tcW w:w="2977" w:type="dxa"/>
            <w:vAlign w:val="center"/>
          </w:tcPr>
          <w:p w:rsidR="00233ED8" w:rsidRDefault="00233ED8" w:rsidP="007C0F74">
            <w:pPr>
              <w:jc w:val="right"/>
            </w:pPr>
          </w:p>
        </w:tc>
      </w:tr>
      <w:tr w:rsidR="00233ED8" w:rsidTr="007C0F74">
        <w:tc>
          <w:tcPr>
            <w:tcW w:w="1845" w:type="dxa"/>
            <w:shd w:val="clear" w:color="auto" w:fill="9BD4F9" w:themeFill="background2" w:themeFillShade="E6"/>
          </w:tcPr>
          <w:p w:rsidR="00233ED8" w:rsidRDefault="00233ED8" w:rsidP="007C0F74">
            <w:r w:rsidRPr="006D6EB3">
              <w:lastRenderedPageBreak/>
              <w:t>Aktivita 2.4  Vybavenie UVP TECHNICOM Jesenná 5 infraštruktúrou potrebnou k realizácii aplikovaného výskumu</w:t>
            </w:r>
          </w:p>
        </w:tc>
        <w:tc>
          <w:tcPr>
            <w:tcW w:w="2833" w:type="dxa"/>
            <w:vAlign w:val="center"/>
          </w:tcPr>
          <w:p w:rsidR="00233ED8" w:rsidRDefault="00233ED8" w:rsidP="007C0F74">
            <w:pPr>
              <w:jc w:val="right"/>
            </w:pPr>
            <w:r w:rsidRPr="00420C9E">
              <w:t>664 437,60</w:t>
            </w:r>
          </w:p>
        </w:tc>
        <w:tc>
          <w:tcPr>
            <w:tcW w:w="2835" w:type="dxa"/>
            <w:vAlign w:val="center"/>
          </w:tcPr>
          <w:p w:rsidR="00233ED8" w:rsidRDefault="00233ED8" w:rsidP="007C0F74">
            <w:pPr>
              <w:jc w:val="right"/>
            </w:pPr>
            <w:r w:rsidRPr="00420C9E">
              <w:t>1 510 001,85</w:t>
            </w:r>
          </w:p>
        </w:tc>
        <w:tc>
          <w:tcPr>
            <w:tcW w:w="2977" w:type="dxa"/>
            <w:vAlign w:val="center"/>
          </w:tcPr>
          <w:p w:rsidR="00233ED8" w:rsidRDefault="00233ED8" w:rsidP="007C0F74">
            <w:pPr>
              <w:jc w:val="right"/>
            </w:pPr>
          </w:p>
        </w:tc>
      </w:tr>
      <w:tr w:rsidR="00233ED8" w:rsidTr="007C0F7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233ED8" w:rsidRDefault="00233ED8" w:rsidP="007C0F74">
            <w:r w:rsidRPr="006D6EB3">
              <w:t>Aktivita 2.5 Výstavba nových výskumných priestorov partnera Prešovská univerzita - UNIPOLAB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233ED8" w:rsidRDefault="00233ED8" w:rsidP="007C0F74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ED8" w:rsidRDefault="00233ED8" w:rsidP="007C0F74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33ED8" w:rsidRDefault="00233ED8" w:rsidP="007C0F74">
            <w:pPr>
              <w:jc w:val="right"/>
            </w:pPr>
          </w:p>
        </w:tc>
      </w:tr>
      <w:tr w:rsidR="00233ED8" w:rsidTr="007C0F7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233ED8" w:rsidRDefault="00233ED8" w:rsidP="007C0F74">
            <w:r w:rsidRPr="006D6EB3">
              <w:t>Aktivita 2.6  Vybavenie priestorov partnera PU nevyhnutnou prístrojovou, laboratórnou a IKT infraštruktúrou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233ED8" w:rsidRDefault="00233ED8" w:rsidP="007C0F74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ED8" w:rsidRDefault="00233ED8" w:rsidP="007C0F74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33ED8" w:rsidRDefault="00233ED8" w:rsidP="007C0F74">
            <w:pPr>
              <w:jc w:val="right"/>
            </w:pPr>
          </w:p>
        </w:tc>
      </w:tr>
      <w:tr w:rsidR="00233ED8" w:rsidTr="007C0F7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233ED8" w:rsidRDefault="00233ED8" w:rsidP="007C0F74">
            <w:r w:rsidRPr="006D6EB3">
              <w:t>Aktivita 3.1 Pilotné projekty v odbore  Informačné a komunikačné technológie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233ED8" w:rsidRDefault="00233ED8" w:rsidP="007C0F74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ED8" w:rsidRDefault="00233ED8" w:rsidP="007C0F74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33ED8" w:rsidRDefault="00233ED8" w:rsidP="007C0F74">
            <w:pPr>
              <w:jc w:val="right"/>
            </w:pPr>
          </w:p>
        </w:tc>
      </w:tr>
      <w:tr w:rsidR="00233ED8" w:rsidTr="007C0F7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233ED8" w:rsidRDefault="00233ED8" w:rsidP="007C0F74">
            <w:r w:rsidRPr="006D6EB3">
              <w:t>Aktivita 3.2 Pilotné projekty v odbore Elektrotechnika, automatizácia a riadiace systémy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233ED8" w:rsidRDefault="00233ED8" w:rsidP="007C0F74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ED8" w:rsidRDefault="00233ED8" w:rsidP="007C0F74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33ED8" w:rsidRDefault="00233ED8" w:rsidP="007C0F74">
            <w:pPr>
              <w:jc w:val="right"/>
            </w:pPr>
          </w:p>
        </w:tc>
      </w:tr>
      <w:tr w:rsidR="00233ED8" w:rsidTr="007C0F7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233ED8" w:rsidRDefault="00233ED8" w:rsidP="007C0F74">
            <w:r w:rsidRPr="006D6EB3">
              <w:t>Aktivita 3.3 Pilotné projekty v odbore Strojárstvo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233ED8" w:rsidRDefault="00233ED8" w:rsidP="007C0F74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ED8" w:rsidRDefault="00233ED8" w:rsidP="007C0F74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33ED8" w:rsidRDefault="00233ED8" w:rsidP="007C0F74">
            <w:pPr>
              <w:jc w:val="right"/>
            </w:pPr>
          </w:p>
        </w:tc>
      </w:tr>
      <w:tr w:rsidR="00233ED8" w:rsidTr="007C0F7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233ED8" w:rsidRDefault="00233ED8" w:rsidP="007C0F74">
            <w:r w:rsidRPr="006D6EB3">
              <w:t>Aktivita 3.4 Pilotné projekty v odbore Stavebné inžinierstvo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233ED8" w:rsidRDefault="00233ED8" w:rsidP="007C0F74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ED8" w:rsidRDefault="00233ED8" w:rsidP="007C0F74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33ED8" w:rsidRDefault="00233ED8" w:rsidP="007C0F74">
            <w:pPr>
              <w:jc w:val="right"/>
            </w:pPr>
          </w:p>
        </w:tc>
      </w:tr>
      <w:tr w:rsidR="00233ED8" w:rsidTr="007C0F7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233ED8" w:rsidRPr="006D6EB3" w:rsidRDefault="00233ED8" w:rsidP="007C0F74">
            <w:r w:rsidRPr="006D6EB3">
              <w:t xml:space="preserve">Aktivita 3.5 </w:t>
            </w:r>
            <w:r w:rsidRPr="006D6EB3">
              <w:lastRenderedPageBreak/>
              <w:t>Pilotné projekty v odbore Environmentálne inžinierstvo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233ED8" w:rsidRDefault="00233ED8" w:rsidP="007C0F74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ED8" w:rsidRDefault="00233ED8" w:rsidP="007C0F74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33ED8" w:rsidRDefault="00233ED8" w:rsidP="007C0F74">
            <w:pPr>
              <w:jc w:val="right"/>
            </w:pPr>
          </w:p>
        </w:tc>
      </w:tr>
      <w:tr w:rsidR="00233ED8" w:rsidTr="007C0F7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233ED8" w:rsidRPr="006D6EB3" w:rsidRDefault="00233ED8" w:rsidP="007C0F74">
            <w:r w:rsidRPr="006D6EB3">
              <w:lastRenderedPageBreak/>
              <w:t>Aktivita 3.6.  Pilotné projekty UPJŠ v odbore Informačné a komunikačné technológie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233ED8" w:rsidRDefault="00233ED8" w:rsidP="007C0F74">
            <w:pPr>
              <w:jc w:val="right"/>
            </w:pPr>
            <w:r w:rsidRPr="00420C9E">
              <w:t>452 486,53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ED8" w:rsidRDefault="00233ED8" w:rsidP="007C0F74">
            <w:pPr>
              <w:jc w:val="right"/>
            </w:pPr>
            <w:r w:rsidRPr="00420C9E">
              <w:t>666 759,54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33ED8" w:rsidRDefault="00233ED8" w:rsidP="007C0F74">
            <w:pPr>
              <w:jc w:val="right"/>
            </w:pPr>
          </w:p>
        </w:tc>
      </w:tr>
      <w:tr w:rsidR="00233ED8" w:rsidTr="007C0F7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233ED8" w:rsidRPr="006D6EB3" w:rsidRDefault="00233ED8" w:rsidP="007C0F74">
            <w:r w:rsidRPr="006D6EB3">
              <w:t>Aktivita 3.7 Pilotné projekty PU v Prešove v odbore Environmentálne inžinierstvo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233ED8" w:rsidRDefault="00233ED8" w:rsidP="007C0F74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ED8" w:rsidRDefault="00233ED8" w:rsidP="007C0F74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33ED8" w:rsidRDefault="00233ED8" w:rsidP="007C0F74">
            <w:pPr>
              <w:jc w:val="right"/>
            </w:pPr>
          </w:p>
        </w:tc>
      </w:tr>
      <w:tr w:rsidR="00233ED8" w:rsidTr="007C0F7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233ED8" w:rsidRPr="00430090" w:rsidRDefault="00233ED8" w:rsidP="007C0F74">
            <w:pPr>
              <w:jc w:val="center"/>
              <w:rPr>
                <w:b/>
              </w:rPr>
            </w:pPr>
            <w:r w:rsidRPr="00430090">
              <w:rPr>
                <w:b/>
              </w:rPr>
              <w:t>Spolu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ED8" w:rsidRDefault="00233ED8" w:rsidP="007C0F74">
            <w:pPr>
              <w:jc w:val="right"/>
            </w:pPr>
            <w:r w:rsidRPr="00420C9E">
              <w:t>1 175 584,93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ED8" w:rsidRDefault="00233ED8" w:rsidP="007C0F74">
            <w:pPr>
              <w:jc w:val="right"/>
            </w:pPr>
            <w:r w:rsidRPr="00420C9E">
              <w:t>2 916 640,06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33ED8" w:rsidRDefault="00233ED8" w:rsidP="007C0F74">
            <w:pPr>
              <w:jc w:val="right"/>
            </w:pPr>
          </w:p>
        </w:tc>
      </w:tr>
      <w:tr w:rsidR="00233ED8" w:rsidRPr="0065201F" w:rsidTr="007C0F74">
        <w:tc>
          <w:tcPr>
            <w:tcW w:w="10490" w:type="dxa"/>
            <w:gridSpan w:val="4"/>
            <w:shd w:val="clear" w:color="auto" w:fill="9BD4F9" w:themeFill="background2" w:themeFillShade="E6"/>
            <w:vAlign w:val="bottom"/>
          </w:tcPr>
          <w:p w:rsidR="00233ED8" w:rsidRPr="0065201F" w:rsidRDefault="00233ED8" w:rsidP="007C0F74">
            <w:pPr>
              <w:jc w:val="center"/>
              <w:rPr>
                <w:b/>
              </w:rPr>
            </w:pPr>
            <w:r w:rsidRPr="0065201F">
              <w:rPr>
                <w:b/>
              </w:rPr>
              <w:t>Podporné aktivity</w:t>
            </w:r>
          </w:p>
        </w:tc>
      </w:tr>
      <w:tr w:rsidR="00233ED8" w:rsidTr="007C0F74">
        <w:tc>
          <w:tcPr>
            <w:tcW w:w="1845" w:type="dxa"/>
            <w:shd w:val="clear" w:color="auto" w:fill="9BD4F9" w:themeFill="background2" w:themeFillShade="E6"/>
          </w:tcPr>
          <w:p w:rsidR="00233ED8" w:rsidRDefault="00233ED8" w:rsidP="007C0F74">
            <w:r>
              <w:t>Riadenie projektu</w:t>
            </w:r>
          </w:p>
        </w:tc>
        <w:tc>
          <w:tcPr>
            <w:tcW w:w="2833" w:type="dxa"/>
            <w:vAlign w:val="center"/>
          </w:tcPr>
          <w:p w:rsidR="00233ED8" w:rsidRDefault="00233ED8" w:rsidP="007C0F74">
            <w:pPr>
              <w:jc w:val="right"/>
            </w:pPr>
            <w:r w:rsidRPr="00420C9E">
              <w:t>69 957,46</w:t>
            </w:r>
          </w:p>
        </w:tc>
        <w:tc>
          <w:tcPr>
            <w:tcW w:w="2835" w:type="dxa"/>
            <w:vAlign w:val="center"/>
          </w:tcPr>
          <w:p w:rsidR="00233ED8" w:rsidRDefault="00233ED8" w:rsidP="007C0F74">
            <w:pPr>
              <w:jc w:val="right"/>
            </w:pPr>
            <w:r w:rsidRPr="00420C9E">
              <w:t>90 261,37</w:t>
            </w:r>
          </w:p>
        </w:tc>
        <w:tc>
          <w:tcPr>
            <w:tcW w:w="2977" w:type="dxa"/>
          </w:tcPr>
          <w:p w:rsidR="00233ED8" w:rsidRDefault="00233ED8" w:rsidP="007C0F74"/>
        </w:tc>
      </w:tr>
      <w:tr w:rsidR="00233ED8" w:rsidTr="007C0F7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233ED8" w:rsidRDefault="00233ED8" w:rsidP="007C0F74">
            <w:r w:rsidRPr="006D6EB3">
              <w:t>Publicita a informovanosť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233ED8" w:rsidRDefault="00233ED8" w:rsidP="007C0F74">
            <w:pPr>
              <w:jc w:val="right"/>
            </w:pPr>
            <w:r w:rsidRPr="00656341">
              <w:t>8106,42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ED8" w:rsidRDefault="00233ED8" w:rsidP="007C0F74">
            <w:pPr>
              <w:jc w:val="right"/>
            </w:pPr>
            <w:r w:rsidRPr="00931EF3">
              <w:t>1 553,07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33ED8" w:rsidRDefault="00233ED8" w:rsidP="007C0F74"/>
        </w:tc>
      </w:tr>
      <w:tr w:rsidR="00233ED8" w:rsidTr="007C0F74">
        <w:tc>
          <w:tcPr>
            <w:tcW w:w="1845" w:type="dxa"/>
            <w:shd w:val="clear" w:color="auto" w:fill="9BD4F9" w:themeFill="background2" w:themeFillShade="E6"/>
          </w:tcPr>
          <w:p w:rsidR="00233ED8" w:rsidRPr="00430090" w:rsidRDefault="00233ED8" w:rsidP="007C0F74">
            <w:pPr>
              <w:jc w:val="center"/>
              <w:rPr>
                <w:b/>
              </w:rPr>
            </w:pPr>
            <w:r w:rsidRPr="00430090">
              <w:rPr>
                <w:b/>
              </w:rPr>
              <w:t>Spolu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233ED8" w:rsidRDefault="00233ED8" w:rsidP="007C0F74">
            <w:pPr>
              <w:jc w:val="right"/>
            </w:pPr>
            <w:r w:rsidRPr="00420C9E">
              <w:t>78 063,88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3ED8" w:rsidRDefault="00233ED8" w:rsidP="007C0F74">
            <w:pPr>
              <w:jc w:val="right"/>
            </w:pPr>
            <w:r w:rsidRPr="00420C9E">
              <w:t>91 814,44</w:t>
            </w:r>
          </w:p>
        </w:tc>
        <w:tc>
          <w:tcPr>
            <w:tcW w:w="2977" w:type="dxa"/>
          </w:tcPr>
          <w:p w:rsidR="00233ED8" w:rsidRDefault="00233ED8" w:rsidP="007C0F74"/>
        </w:tc>
      </w:tr>
    </w:tbl>
    <w:p w:rsidR="00233ED8" w:rsidRDefault="00233ED8" w:rsidP="005F0BD5">
      <w:pPr>
        <w:rPr>
          <w:rFonts w:eastAsiaTheme="minorEastAsia"/>
          <w:bCs/>
          <w:iCs/>
          <w:noProof/>
          <w:lang w:eastAsia="sk-SK"/>
        </w:rPr>
      </w:pPr>
    </w:p>
    <w:p w:rsidR="00233ED8" w:rsidRPr="00AC67D9" w:rsidRDefault="00233ED8" w:rsidP="005F0BD5">
      <w:pPr>
        <w:rPr>
          <w:rFonts w:eastAsiaTheme="minorEastAsia"/>
          <w:b/>
          <w:bCs/>
          <w:iCs/>
          <w:noProof/>
          <w:lang w:eastAsia="sk-SK"/>
        </w:rPr>
      </w:pPr>
    </w:p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6E4A8E" w:rsidRDefault="006E4A8E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6E4A8E" w:rsidRDefault="006E4A8E" w:rsidP="005F0BD5"/>
    <w:p w:rsidR="006E4A8E" w:rsidRDefault="006E4A8E" w:rsidP="005F0BD5"/>
    <w:p w:rsidR="006E4A8E" w:rsidRDefault="006E4A8E" w:rsidP="005F0BD5"/>
    <w:p w:rsidR="006E4A8E" w:rsidRDefault="006E4A8E" w:rsidP="005F0BD5"/>
    <w:p w:rsidR="006E4A8E" w:rsidRDefault="006E4A8E" w:rsidP="005F0BD5"/>
    <w:p w:rsidR="006E4A8E" w:rsidRDefault="006E4A8E" w:rsidP="005F0BD5"/>
    <w:p w:rsidR="00743E23" w:rsidRDefault="00743E23" w:rsidP="005F0BD5"/>
    <w:p w:rsidR="00743E23" w:rsidRDefault="00743E23" w:rsidP="005F0BD5"/>
    <w:p w:rsidR="00EF13F2" w:rsidRDefault="00EF13F2" w:rsidP="005F0BD5"/>
    <w:p w:rsidR="00755127" w:rsidRDefault="00755127" w:rsidP="005F0BD5"/>
    <w:p w:rsidR="00EF13F2" w:rsidRDefault="006E4A8E" w:rsidP="005F0BD5">
      <w:r>
        <w:t>______________________</w:t>
      </w:r>
    </w:p>
    <w:p w:rsidR="006E4A8E" w:rsidRDefault="006E4A8E" w:rsidP="006E4A8E">
      <w:pPr>
        <w:pStyle w:val="Textpoznmkypodiarou"/>
        <w:rPr>
          <w:rFonts w:ascii="Arial Narrow" w:hAnsi="Arial Narrow"/>
          <w:sz w:val="18"/>
          <w:szCs w:val="18"/>
        </w:rPr>
      </w:pPr>
      <w:r>
        <w:rPr>
          <w:vertAlign w:val="superscript"/>
        </w:rPr>
        <w:t>2</w:t>
      </w:r>
      <w:r>
        <w:t xml:space="preserve"> </w:t>
      </w:r>
      <w:r>
        <w:rPr>
          <w:rFonts w:ascii="Arial Narrow" w:hAnsi="Arial Narrow"/>
          <w:sz w:val="18"/>
          <w:szCs w:val="18"/>
        </w:rPr>
        <w:t xml:space="preserve">Uvádzať </w:t>
      </w:r>
      <w:r w:rsidRPr="001254C2">
        <w:rPr>
          <w:rFonts w:ascii="Arial Narrow" w:hAnsi="Arial Narrow"/>
          <w:sz w:val="18"/>
          <w:szCs w:val="18"/>
        </w:rPr>
        <w:t xml:space="preserve"> kumulatívne </w:t>
      </w:r>
      <w:r>
        <w:rPr>
          <w:rFonts w:ascii="Arial Narrow" w:hAnsi="Arial Narrow"/>
          <w:sz w:val="18"/>
          <w:szCs w:val="18"/>
        </w:rPr>
        <w:t>vyčerpanú sumu NFP od začiatku realizácie projektu (t.j.</w:t>
      </w:r>
      <w:r w:rsidR="001A3961">
        <w:rPr>
          <w:rFonts w:ascii="Arial Narrow" w:hAnsi="Arial Narrow"/>
          <w:sz w:val="18"/>
          <w:szCs w:val="18"/>
        </w:rPr>
        <w:t xml:space="preserve"> sumu, ktorá už bola uhradená platobnou jednotkou</w:t>
      </w:r>
      <w:r>
        <w:rPr>
          <w:rFonts w:ascii="Arial Narrow" w:hAnsi="Arial Narrow"/>
          <w:sz w:val="18"/>
          <w:szCs w:val="18"/>
        </w:rPr>
        <w:t>).</w:t>
      </w:r>
    </w:p>
    <w:p w:rsidR="006E4A8E" w:rsidRPr="006E4A8E" w:rsidRDefault="006E4A8E" w:rsidP="005F0BD5"/>
    <w:p w:rsidR="00EF13F2" w:rsidRDefault="00EF13F2" w:rsidP="005F0BD5"/>
    <w:tbl>
      <w:tblPr>
        <w:tblpPr w:leftFromText="141" w:rightFromText="141" w:vertAnchor="text" w:horzAnchor="margin" w:tblpX="-601" w:tblpY="18"/>
        <w:tblOverlap w:val="never"/>
        <w:tblW w:w="10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29"/>
        <w:gridCol w:w="1566"/>
        <w:gridCol w:w="1699"/>
        <w:gridCol w:w="1703"/>
        <w:gridCol w:w="1417"/>
        <w:gridCol w:w="1979"/>
      </w:tblGrid>
      <w:tr w:rsidR="00680FE9" w:rsidRPr="00E156FE" w:rsidTr="007C0F74">
        <w:trPr>
          <w:trHeight w:val="567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7C0F74">
            <w:pPr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Rozpočet projektu podľa skupín výdavkov</w:t>
            </w:r>
          </w:p>
        </w:tc>
      </w:tr>
      <w:tr w:rsidR="00680FE9" w:rsidRPr="00E156FE" w:rsidTr="007C0F74">
        <w:trPr>
          <w:trHeight w:val="662"/>
        </w:trPr>
        <w:tc>
          <w:tcPr>
            <w:tcW w:w="1052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7C0F74">
            <w:pPr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Názov skupiny výdavkov</w:t>
            </w:r>
          </w:p>
        </w:tc>
        <w:tc>
          <w:tcPr>
            <w:tcW w:w="154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7C0F74">
            <w:pPr>
              <w:ind w:left="-159" w:right="-115"/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Oprávnené výdavky</w:t>
            </w:r>
            <w:r w:rsidRPr="00E3587A">
              <w:rPr>
                <w:rFonts w:cs="Arial"/>
                <w:b/>
              </w:rPr>
              <w:br/>
              <w:t>(v EUR)</w:t>
            </w:r>
          </w:p>
        </w:tc>
        <w:tc>
          <w:tcPr>
            <w:tcW w:w="1473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7C0F74">
            <w:pPr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 xml:space="preserve">Výdavky deklarované v ŽoP </w:t>
            </w:r>
            <w:r w:rsidRPr="00E3587A">
              <w:rPr>
                <w:rFonts w:cs="Arial"/>
                <w:b/>
              </w:rPr>
              <w:br/>
              <w:t>(v EUR)</w:t>
            </w:r>
          </w:p>
        </w:tc>
        <w:tc>
          <w:tcPr>
            <w:tcW w:w="934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Pr="00E3587A" w:rsidRDefault="00680FE9" w:rsidP="007C0F74">
            <w:pPr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Stav finančnej realizácie (v %) (podiel skutočne uhradených z plánovaných oprávnených výdavkov)</w:t>
            </w:r>
          </w:p>
        </w:tc>
      </w:tr>
      <w:tr w:rsidR="00680FE9" w:rsidRPr="00E156FE" w:rsidTr="007C0F74">
        <w:trPr>
          <w:trHeight w:val="330"/>
        </w:trPr>
        <w:tc>
          <w:tcPr>
            <w:tcW w:w="1052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80FE9" w:rsidRPr="00E3587A" w:rsidRDefault="00680FE9" w:rsidP="007C0F74">
            <w:pPr>
              <w:rPr>
                <w:rFonts w:cs="Arial"/>
                <w:b/>
              </w:rPr>
            </w:pPr>
          </w:p>
        </w:tc>
        <w:tc>
          <w:tcPr>
            <w:tcW w:w="739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7C0F74">
            <w:pPr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Plánovaný stav</w:t>
            </w:r>
          </w:p>
        </w:tc>
        <w:tc>
          <w:tcPr>
            <w:tcW w:w="80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7C0F74">
            <w:pPr>
              <w:ind w:left="-22" w:right="-115"/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Skutočný (aktuálny) stav</w:t>
            </w:r>
            <w:r>
              <w:rPr>
                <w:rStyle w:val="Odkaznapoznmkupodiarou"/>
                <w:rFonts w:cs="Arial"/>
                <w:b/>
              </w:rPr>
              <w:t>3</w:t>
            </w:r>
          </w:p>
        </w:tc>
        <w:tc>
          <w:tcPr>
            <w:tcW w:w="804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7C0F74">
            <w:pPr>
              <w:jc w:val="center"/>
              <w:rPr>
                <w:rFonts w:cs="Arial"/>
                <w:b/>
                <w:bCs/>
              </w:rPr>
            </w:pPr>
            <w:r w:rsidRPr="00E3587A">
              <w:rPr>
                <w:rFonts w:cs="Arial"/>
                <w:b/>
                <w:bCs/>
              </w:rPr>
              <w:t>Predložené na RO</w:t>
            </w:r>
          </w:p>
          <w:p w:rsidR="00680FE9" w:rsidRPr="00E3587A" w:rsidRDefault="00680FE9" w:rsidP="007C0F7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69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7C0F74">
            <w:pPr>
              <w:jc w:val="center"/>
              <w:rPr>
                <w:rFonts w:cs="Arial"/>
                <w:b/>
                <w:bCs/>
              </w:rPr>
            </w:pPr>
            <w:r w:rsidRPr="00E3587A">
              <w:rPr>
                <w:rFonts w:cs="Arial"/>
                <w:b/>
                <w:bCs/>
              </w:rPr>
              <w:t>Schválené</w:t>
            </w:r>
            <w:r>
              <w:rPr>
                <w:rStyle w:val="Odkaznapoznmkupodiarou"/>
                <w:rFonts w:cs="Arial"/>
                <w:b/>
                <w:bCs/>
              </w:rPr>
              <w:t>4</w:t>
            </w:r>
            <w:r w:rsidRPr="00E3587A">
              <w:rPr>
                <w:rFonts w:cs="Arial"/>
                <w:b/>
                <w:bCs/>
              </w:rPr>
              <w:t xml:space="preserve"> výdavky projektu zo strany  PJ</w:t>
            </w:r>
          </w:p>
          <w:p w:rsidR="00680FE9" w:rsidRPr="00E3587A" w:rsidRDefault="00680FE9" w:rsidP="007C0F7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34" w:type="pct"/>
            <w:vMerge/>
            <w:tcBorders>
              <w:top w:val="single" w:sz="6" w:space="0" w:color="auto"/>
            </w:tcBorders>
            <w:shd w:val="clear" w:color="auto" w:fill="92CDDC"/>
          </w:tcPr>
          <w:p w:rsidR="00680FE9" w:rsidRPr="00E3587A" w:rsidRDefault="00680FE9" w:rsidP="007C0F74">
            <w:pPr>
              <w:jc w:val="center"/>
              <w:rPr>
                <w:rFonts w:cs="Arial"/>
                <w:b/>
              </w:rPr>
            </w:pPr>
          </w:p>
        </w:tc>
      </w:tr>
      <w:tr w:rsidR="00010B41" w:rsidRPr="00E156FE" w:rsidTr="00010B41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0B41" w:rsidRDefault="00010B41" w:rsidP="00010B41">
            <w:r>
              <w:t>610620 osobné náklady</w:t>
            </w:r>
          </w:p>
        </w:tc>
        <w:tc>
          <w:tcPr>
            <w:tcW w:w="73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0B41" w:rsidRPr="00932F61" w:rsidRDefault="00010B41" w:rsidP="00010B41">
            <w:pPr>
              <w:jc w:val="right"/>
            </w:pPr>
            <w:r w:rsidRPr="00932F61">
              <w:t>1 217 749,80</w:t>
            </w:r>
          </w:p>
        </w:tc>
        <w:tc>
          <w:tcPr>
            <w:tcW w:w="80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0B41" w:rsidRPr="00C84F32" w:rsidRDefault="00010B41" w:rsidP="00010B41">
            <w:pPr>
              <w:jc w:val="right"/>
            </w:pPr>
            <w:r w:rsidRPr="00C84F32">
              <w:t>889 087,01</w:t>
            </w:r>
          </w:p>
        </w:tc>
        <w:tc>
          <w:tcPr>
            <w:tcW w:w="8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0B41" w:rsidRPr="00C84F32" w:rsidRDefault="00010B41" w:rsidP="00010B41">
            <w:pPr>
              <w:jc w:val="right"/>
            </w:pPr>
            <w:r w:rsidRPr="00C84F32">
              <w:t>869 206,38</w:t>
            </w:r>
          </w:p>
        </w:tc>
        <w:tc>
          <w:tcPr>
            <w:tcW w:w="66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0B41" w:rsidRPr="00C84F32" w:rsidRDefault="00010B41" w:rsidP="00010B41">
            <w:pPr>
              <w:jc w:val="right"/>
            </w:pPr>
            <w:r w:rsidRPr="00C84F32">
              <w:t>533 015,76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0B41" w:rsidRPr="00C84F32" w:rsidRDefault="00010B41" w:rsidP="00010B41">
            <w:pPr>
              <w:jc w:val="right"/>
            </w:pPr>
            <w:r w:rsidRPr="00C84F32">
              <w:t>43,77</w:t>
            </w:r>
          </w:p>
        </w:tc>
      </w:tr>
      <w:tr w:rsidR="00010B41" w:rsidRPr="00E156FE" w:rsidTr="00010B41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0B41" w:rsidRDefault="00010B41" w:rsidP="00010B41">
            <w:r>
              <w:t>631001 Tuzemské cestovné náklady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0B41" w:rsidRPr="00932F61" w:rsidRDefault="00010B41" w:rsidP="00010B41">
            <w:pPr>
              <w:jc w:val="right"/>
            </w:pPr>
            <w:r w:rsidRPr="00932F61">
              <w:t>7 600,00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0B41" w:rsidRPr="00C84F32" w:rsidRDefault="00010B41" w:rsidP="00010B41">
            <w:pPr>
              <w:jc w:val="right"/>
            </w:pPr>
            <w:r w:rsidRPr="00C84F32">
              <w:t>2 124,52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0B41" w:rsidRPr="00C84F32" w:rsidRDefault="00010B41" w:rsidP="00010B41">
            <w:pPr>
              <w:jc w:val="right"/>
            </w:pPr>
            <w:r w:rsidRPr="00C84F32">
              <w:t>2 124,52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0B41" w:rsidRPr="00C84F32" w:rsidRDefault="00010B41" w:rsidP="00010B41">
            <w:pPr>
              <w:jc w:val="right"/>
            </w:pPr>
            <w:r w:rsidRPr="00C84F32">
              <w:t>1 160,00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0B41" w:rsidRPr="00C84F32" w:rsidRDefault="00010B41" w:rsidP="00010B41">
            <w:pPr>
              <w:jc w:val="right"/>
            </w:pPr>
            <w:r w:rsidRPr="00C84F32">
              <w:t>15,26</w:t>
            </w:r>
          </w:p>
        </w:tc>
      </w:tr>
      <w:tr w:rsidR="00010B41" w:rsidRPr="00E156FE" w:rsidTr="00010B41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0B41" w:rsidRDefault="00010B41" w:rsidP="00010B41">
            <w:r>
              <w:t>631002 Zahraničné cestovné náhrady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0B41" w:rsidRPr="00932F61" w:rsidRDefault="00010B41" w:rsidP="00010B41">
            <w:pPr>
              <w:jc w:val="right"/>
            </w:pPr>
            <w:r w:rsidRPr="00932F61">
              <w:t>99 000,00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0B41" w:rsidRPr="00C84F32" w:rsidRDefault="00010B41" w:rsidP="00010B41">
            <w:pPr>
              <w:jc w:val="right"/>
            </w:pPr>
            <w:r w:rsidRPr="00C84F32">
              <w:t>64 908,97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0B41" w:rsidRPr="00C84F32" w:rsidRDefault="00010B41" w:rsidP="00010B41">
            <w:pPr>
              <w:jc w:val="right"/>
            </w:pPr>
            <w:r w:rsidRPr="00C84F32">
              <w:t>63 635,72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0B41" w:rsidRPr="00C84F32" w:rsidRDefault="00010B41" w:rsidP="00010B41">
            <w:pPr>
              <w:jc w:val="right"/>
            </w:pPr>
            <w:r w:rsidRPr="00C84F32">
              <w:t>18 674,40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0B41" w:rsidRPr="00C84F32" w:rsidRDefault="00010B41" w:rsidP="00010B41">
            <w:pPr>
              <w:jc w:val="right"/>
            </w:pPr>
            <w:r w:rsidRPr="00C84F32">
              <w:t>18,86</w:t>
            </w:r>
          </w:p>
        </w:tc>
      </w:tr>
      <w:tr w:rsidR="00010B41" w:rsidRPr="00E156FE" w:rsidTr="00010B41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0B41" w:rsidRPr="00326665" w:rsidRDefault="00010B41" w:rsidP="00010B41">
            <w:r w:rsidRPr="00326665">
              <w:t>633001 Materiál - Interiérové vybavenie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0B41" w:rsidRPr="00932F61" w:rsidRDefault="00010B41" w:rsidP="00010B41">
            <w:pPr>
              <w:jc w:val="right"/>
            </w:pPr>
            <w:r w:rsidRPr="00932F61">
              <w:t>84 070,00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0B41" w:rsidRPr="00C84F32" w:rsidRDefault="00010B41" w:rsidP="00010B41">
            <w:pPr>
              <w:jc w:val="right"/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10B41" w:rsidRPr="00C84F32" w:rsidRDefault="00010B41" w:rsidP="00010B41">
            <w:pPr>
              <w:jc w:val="right"/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010B41" w:rsidRPr="00C84F32" w:rsidRDefault="00010B41" w:rsidP="00010B41">
            <w:pPr>
              <w:jc w:val="right"/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010B41" w:rsidRPr="00C84F32" w:rsidRDefault="00010B41" w:rsidP="00010B41">
            <w:pPr>
              <w:jc w:val="right"/>
            </w:pPr>
          </w:p>
        </w:tc>
      </w:tr>
      <w:tr w:rsidR="00010B41" w:rsidRPr="00E156FE" w:rsidTr="00010B41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0B41" w:rsidRDefault="00010B41" w:rsidP="00010B41">
            <w:r w:rsidRPr="00326665">
              <w:t>633002 Materiál Výpočtová technika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0B41" w:rsidRPr="00932F61" w:rsidRDefault="00010B41" w:rsidP="00010B41">
            <w:pPr>
              <w:jc w:val="right"/>
            </w:pPr>
            <w:r w:rsidRPr="00932F61">
              <w:t>48 659,00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0B41" w:rsidRPr="00C84F32" w:rsidRDefault="00010B41" w:rsidP="00010B41">
            <w:pPr>
              <w:jc w:val="right"/>
            </w:pPr>
            <w:r w:rsidRPr="00C84F32">
              <w:t>48 659,00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0B41" w:rsidRPr="00C84F32" w:rsidRDefault="00010B41" w:rsidP="00010B41">
            <w:pPr>
              <w:jc w:val="right"/>
            </w:pPr>
            <w:r w:rsidRPr="00C84F32">
              <w:t>48 659,00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0B41" w:rsidRPr="00C84F32" w:rsidRDefault="00010B41" w:rsidP="00010B41">
            <w:pPr>
              <w:jc w:val="right"/>
            </w:pPr>
            <w:r w:rsidRPr="00C84F32">
              <w:t>48 659,00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0B41" w:rsidRDefault="00010B41" w:rsidP="00010B41">
            <w:pPr>
              <w:jc w:val="right"/>
            </w:pPr>
            <w:r w:rsidRPr="00C84F32">
              <w:t>100,00</w:t>
            </w:r>
          </w:p>
        </w:tc>
      </w:tr>
      <w:tr w:rsidR="007F2CB0" w:rsidRPr="00E156FE" w:rsidTr="007C0F7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7F2CB0" w:rsidRDefault="007F2CB0" w:rsidP="007F2CB0">
            <w:r>
              <w:t xml:space="preserve">633003 Materiál Telekomunikačná technika </w:t>
            </w:r>
          </w:p>
        </w:tc>
        <w:tc>
          <w:tcPr>
            <w:tcW w:w="739" w:type="pct"/>
            <w:shd w:val="clear" w:color="auto" w:fill="auto"/>
          </w:tcPr>
          <w:p w:rsidR="007F2CB0" w:rsidRPr="00932F61" w:rsidRDefault="007F2CB0" w:rsidP="007F2CB0"/>
        </w:tc>
        <w:tc>
          <w:tcPr>
            <w:tcW w:w="802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10B41" w:rsidRPr="00E156FE" w:rsidTr="00010B41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0B41" w:rsidRPr="00896DFB" w:rsidRDefault="00010B41" w:rsidP="00010B41">
            <w:r w:rsidRPr="00896DFB">
              <w:t>633004 Materiál Prevádzkové stroje, prístroje, zariadenie, technika a náradie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0B41" w:rsidRPr="00B7471F" w:rsidRDefault="00010B41" w:rsidP="00010B41">
            <w:pPr>
              <w:jc w:val="right"/>
            </w:pPr>
            <w:r w:rsidRPr="00B7471F">
              <w:t>15 819,00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0B41" w:rsidRPr="00B7471F" w:rsidRDefault="00010B41" w:rsidP="00010B41">
            <w:pPr>
              <w:jc w:val="right"/>
            </w:pPr>
            <w:r w:rsidRPr="00B7471F">
              <w:t>14 569,00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0B41" w:rsidRPr="00B7471F" w:rsidRDefault="00010B41" w:rsidP="00010B41">
            <w:pPr>
              <w:jc w:val="right"/>
            </w:pPr>
            <w:r w:rsidRPr="00B7471F">
              <w:t>14 569,00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0B41" w:rsidRPr="00B7471F" w:rsidRDefault="00010B41" w:rsidP="00010B41">
            <w:pPr>
              <w:jc w:val="right"/>
            </w:pPr>
            <w:r w:rsidRPr="00B7471F">
              <w:t>14 569,00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0B41" w:rsidRPr="00B7471F" w:rsidRDefault="00010B41" w:rsidP="00010B41">
            <w:pPr>
              <w:jc w:val="right"/>
            </w:pPr>
            <w:r w:rsidRPr="00B7471F">
              <w:t>92,10</w:t>
            </w:r>
          </w:p>
        </w:tc>
      </w:tr>
      <w:tr w:rsidR="00010B41" w:rsidRPr="00E156FE" w:rsidTr="00010B41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0B41" w:rsidRDefault="00010B41" w:rsidP="00010B41">
            <w:r w:rsidRPr="00896DFB">
              <w:t>633005 Materiál Špeciálne stroje, prístroje, zariadenie, technika a náradie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0B41" w:rsidRPr="00B7471F" w:rsidRDefault="00010B41" w:rsidP="00010B41">
            <w:pPr>
              <w:jc w:val="right"/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010B41" w:rsidRPr="00B7471F" w:rsidRDefault="00010B41" w:rsidP="00010B41">
            <w:pPr>
              <w:jc w:val="right"/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10B41" w:rsidRPr="00B7471F" w:rsidRDefault="00010B41" w:rsidP="00010B41">
            <w:pPr>
              <w:jc w:val="right"/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010B41" w:rsidRPr="00B7471F" w:rsidRDefault="00010B41" w:rsidP="00010B41">
            <w:pPr>
              <w:jc w:val="right"/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010B41" w:rsidRPr="00B7471F" w:rsidRDefault="00010B41" w:rsidP="00010B41">
            <w:pPr>
              <w:jc w:val="right"/>
            </w:pPr>
          </w:p>
        </w:tc>
      </w:tr>
      <w:tr w:rsidR="00010B41" w:rsidRPr="00E156FE" w:rsidTr="00010B41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0B41" w:rsidRDefault="00010B41" w:rsidP="00010B41">
            <w:r>
              <w:t xml:space="preserve">633006 Všeobecný materiál 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0B41" w:rsidRPr="00B7471F" w:rsidRDefault="00010B41" w:rsidP="00010B41">
            <w:pPr>
              <w:jc w:val="right"/>
            </w:pPr>
            <w:r w:rsidRPr="00B7471F">
              <w:t>22 630,00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0B41" w:rsidRPr="00B7471F" w:rsidRDefault="00010B41" w:rsidP="00010B41">
            <w:pPr>
              <w:jc w:val="right"/>
            </w:pPr>
            <w:r w:rsidRPr="00B7471F">
              <w:t>1 000,00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0B41" w:rsidRPr="00B7471F" w:rsidRDefault="00010B41" w:rsidP="00010B41">
            <w:pPr>
              <w:jc w:val="right"/>
            </w:pPr>
            <w:r w:rsidRPr="00B7471F">
              <w:t>1 000,00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0B41" w:rsidRPr="00B7471F" w:rsidRDefault="00010B41" w:rsidP="00010B41">
            <w:pPr>
              <w:jc w:val="right"/>
            </w:pPr>
            <w:r w:rsidRPr="00B7471F">
              <w:t>1 000,00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0B41" w:rsidRDefault="00010B41" w:rsidP="00010B41">
            <w:pPr>
              <w:jc w:val="right"/>
            </w:pPr>
            <w:r w:rsidRPr="00B7471F">
              <w:t>4,42</w:t>
            </w:r>
          </w:p>
        </w:tc>
      </w:tr>
      <w:tr w:rsidR="007F2CB0" w:rsidRPr="00E156FE" w:rsidTr="007C0F7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7F2CB0" w:rsidRPr="008E20F2" w:rsidRDefault="007F2CB0" w:rsidP="007F2CB0">
            <w:r w:rsidRPr="008E20F2">
              <w:t>633009 Materiál Knihy, časopisy, noviny , učebnice, učebné pomôcky a kompenzačné pomôcky</w:t>
            </w:r>
          </w:p>
        </w:tc>
        <w:tc>
          <w:tcPr>
            <w:tcW w:w="739" w:type="pct"/>
            <w:shd w:val="clear" w:color="auto" w:fill="auto"/>
          </w:tcPr>
          <w:p w:rsidR="007F2CB0" w:rsidRPr="00932F61" w:rsidRDefault="007F2CB0" w:rsidP="007F2CB0"/>
        </w:tc>
        <w:tc>
          <w:tcPr>
            <w:tcW w:w="802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10B41" w:rsidRPr="00E156FE" w:rsidTr="00010B41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0B41" w:rsidRPr="008E20F2" w:rsidRDefault="00010B41" w:rsidP="00010B41">
            <w:r w:rsidRPr="008E20F2">
              <w:t>633013 Materiál Softvér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0B41" w:rsidRPr="009C0581" w:rsidRDefault="00010B41" w:rsidP="00010B41">
            <w:pPr>
              <w:jc w:val="right"/>
            </w:pPr>
            <w:r w:rsidRPr="009C0581">
              <w:t>8 330,00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0B41" w:rsidRPr="009C0581" w:rsidRDefault="00010B41" w:rsidP="00010B41">
            <w:pPr>
              <w:jc w:val="right"/>
            </w:pPr>
            <w:r w:rsidRPr="009C0581">
              <w:t>6 330,00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0B41" w:rsidRPr="009C0581" w:rsidRDefault="00010B41" w:rsidP="00010B41">
            <w:pPr>
              <w:jc w:val="right"/>
            </w:pPr>
            <w:r w:rsidRPr="009C0581">
              <w:t>6 330,00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0B41" w:rsidRPr="009C0581" w:rsidRDefault="00010B41" w:rsidP="00010B41">
            <w:pPr>
              <w:jc w:val="right"/>
            </w:pPr>
            <w:r w:rsidRPr="009C0581">
              <w:t>6 330,00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0B41" w:rsidRDefault="00010B41" w:rsidP="00010B41">
            <w:pPr>
              <w:jc w:val="right"/>
            </w:pPr>
            <w:r w:rsidRPr="009C0581">
              <w:t>75,99</w:t>
            </w:r>
          </w:p>
        </w:tc>
      </w:tr>
      <w:tr w:rsidR="007F2CB0" w:rsidRPr="00E156FE" w:rsidTr="007C0F7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7F2CB0" w:rsidRDefault="007F2CB0" w:rsidP="007F2CB0">
            <w:r w:rsidRPr="008E20F2">
              <w:t>633018 Licencie</w:t>
            </w:r>
          </w:p>
        </w:tc>
        <w:tc>
          <w:tcPr>
            <w:tcW w:w="739" w:type="pct"/>
            <w:shd w:val="clear" w:color="auto" w:fill="auto"/>
          </w:tcPr>
          <w:p w:rsidR="007F2CB0" w:rsidRPr="00932F61" w:rsidRDefault="007F2CB0" w:rsidP="007F2CB0"/>
        </w:tc>
        <w:tc>
          <w:tcPr>
            <w:tcW w:w="802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F2CB0" w:rsidRPr="00E156FE" w:rsidTr="007C0F7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7F2CB0" w:rsidRPr="001129D3" w:rsidRDefault="007F2CB0" w:rsidP="007F2CB0">
            <w:r w:rsidRPr="001129D3">
              <w:t>635002 Údržba Výpočtovej techniky</w:t>
            </w:r>
          </w:p>
        </w:tc>
        <w:tc>
          <w:tcPr>
            <w:tcW w:w="739" w:type="pct"/>
            <w:shd w:val="clear" w:color="auto" w:fill="auto"/>
          </w:tcPr>
          <w:p w:rsidR="007F2CB0" w:rsidRPr="00932F61" w:rsidRDefault="007F2CB0" w:rsidP="007F2CB0"/>
        </w:tc>
        <w:tc>
          <w:tcPr>
            <w:tcW w:w="802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F2CB0" w:rsidRPr="00E156FE" w:rsidTr="007C0F7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7F2CB0" w:rsidRPr="001129D3" w:rsidRDefault="007F2CB0" w:rsidP="007F2CB0">
            <w:r w:rsidRPr="001129D3">
              <w:lastRenderedPageBreak/>
              <w:t>635004 Údržba Prevádzkových strojov, prístrojov, zariadení, techniky a náradia</w:t>
            </w:r>
          </w:p>
        </w:tc>
        <w:tc>
          <w:tcPr>
            <w:tcW w:w="739" w:type="pct"/>
            <w:shd w:val="clear" w:color="auto" w:fill="auto"/>
          </w:tcPr>
          <w:p w:rsidR="007F2CB0" w:rsidRPr="00932F61" w:rsidRDefault="007F2CB0" w:rsidP="007F2CB0"/>
        </w:tc>
        <w:tc>
          <w:tcPr>
            <w:tcW w:w="802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F2CB0" w:rsidRPr="00E156FE" w:rsidTr="007C0F7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7F2CB0" w:rsidRDefault="007F2CB0" w:rsidP="007F2CB0">
            <w:r w:rsidRPr="001129D3">
              <w:t>635009 Údržba softwéru</w:t>
            </w:r>
          </w:p>
        </w:tc>
        <w:tc>
          <w:tcPr>
            <w:tcW w:w="739" w:type="pct"/>
            <w:shd w:val="clear" w:color="auto" w:fill="auto"/>
          </w:tcPr>
          <w:p w:rsidR="007F2CB0" w:rsidRPr="00932F61" w:rsidRDefault="007F2CB0" w:rsidP="007F2CB0"/>
        </w:tc>
        <w:tc>
          <w:tcPr>
            <w:tcW w:w="802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10B41" w:rsidRPr="00E156FE" w:rsidTr="00010B41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0B41" w:rsidRPr="008E0B3B" w:rsidRDefault="00010B41" w:rsidP="00010B41">
            <w:r w:rsidRPr="008E0B3B">
              <w:t>637001 Školenia, kurzy, semináre, porady, konferencie, sympóziá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0B41" w:rsidRPr="003F31D3" w:rsidRDefault="00010B41" w:rsidP="00010B41">
            <w:pPr>
              <w:jc w:val="right"/>
            </w:pPr>
            <w:r w:rsidRPr="003F31D3">
              <w:t>10 000,00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0B41" w:rsidRPr="003F31D3" w:rsidRDefault="00010B41" w:rsidP="00010B41">
            <w:pPr>
              <w:jc w:val="right"/>
            </w:pPr>
            <w:r w:rsidRPr="003F31D3">
              <w:t>4 299,54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0B41" w:rsidRPr="003F31D3" w:rsidRDefault="00010B41" w:rsidP="00010B41">
            <w:pPr>
              <w:jc w:val="right"/>
            </w:pPr>
            <w:r w:rsidRPr="003F31D3">
              <w:t>3 809,54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0B41" w:rsidRPr="003F31D3" w:rsidRDefault="00010B41" w:rsidP="00010B41">
            <w:pPr>
              <w:jc w:val="right"/>
            </w:pPr>
            <w:r w:rsidRPr="003F31D3">
              <w:t>909,88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0B41" w:rsidRPr="003F31D3" w:rsidRDefault="00010B41" w:rsidP="00010B41">
            <w:pPr>
              <w:jc w:val="right"/>
            </w:pPr>
            <w:r w:rsidRPr="003F31D3">
              <w:t>9,10</w:t>
            </w:r>
          </w:p>
        </w:tc>
      </w:tr>
      <w:tr w:rsidR="00010B41" w:rsidRPr="00E156FE" w:rsidTr="00010B41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0B41" w:rsidRPr="008E0B3B" w:rsidRDefault="00010B41" w:rsidP="00010B41">
            <w:r w:rsidRPr="008E0B3B">
              <w:t>637003 Propagácia, reklama a inzercia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0B41" w:rsidRPr="003F31D3" w:rsidRDefault="00010B41" w:rsidP="00010B41">
            <w:pPr>
              <w:jc w:val="right"/>
            </w:pPr>
            <w:r w:rsidRPr="003F31D3">
              <w:t>8 537,88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0B41" w:rsidRPr="003F31D3" w:rsidRDefault="00010B41" w:rsidP="00010B41">
            <w:pPr>
              <w:jc w:val="right"/>
            </w:pPr>
            <w:r w:rsidRPr="003F31D3">
              <w:t>8 533,07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0B41" w:rsidRPr="003F31D3" w:rsidRDefault="00010B41" w:rsidP="00010B41">
            <w:pPr>
              <w:jc w:val="right"/>
            </w:pPr>
            <w:r w:rsidRPr="003F31D3">
              <w:t>8 533,07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0B41" w:rsidRPr="003F31D3" w:rsidRDefault="00010B41" w:rsidP="00010B41">
            <w:pPr>
              <w:jc w:val="right"/>
            </w:pPr>
            <w:r w:rsidRPr="003F31D3">
              <w:t>8 533,07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0B41" w:rsidRPr="003F31D3" w:rsidRDefault="00010B41" w:rsidP="00010B41">
            <w:pPr>
              <w:jc w:val="right"/>
            </w:pPr>
            <w:r w:rsidRPr="003F31D3">
              <w:t>99,94</w:t>
            </w:r>
          </w:p>
        </w:tc>
      </w:tr>
      <w:tr w:rsidR="00010B41" w:rsidRPr="00E156FE" w:rsidTr="00010B41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0B41" w:rsidRDefault="00010B41" w:rsidP="00010B41">
            <w:r w:rsidRPr="008E0B3B">
              <w:t>637004 Všeobecné služby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0B41" w:rsidRPr="003F31D3" w:rsidRDefault="00010B41" w:rsidP="00010B41">
            <w:pPr>
              <w:jc w:val="right"/>
            </w:pPr>
            <w:r w:rsidRPr="003F31D3">
              <w:t>2 500,00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0B41" w:rsidRPr="003F31D3" w:rsidRDefault="00010B41" w:rsidP="00010B41">
            <w:pPr>
              <w:jc w:val="right"/>
            </w:pPr>
            <w:r w:rsidRPr="003F31D3">
              <w:t>1 586,21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0B41" w:rsidRPr="003F31D3" w:rsidRDefault="00010B41" w:rsidP="00010B41">
            <w:pPr>
              <w:jc w:val="right"/>
            </w:pPr>
            <w:r w:rsidRPr="003F31D3">
              <w:t>1 586,21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0B41" w:rsidRPr="003F31D3" w:rsidRDefault="00010B41" w:rsidP="00010B41">
            <w:pPr>
              <w:jc w:val="right"/>
            </w:pPr>
            <w:r w:rsidRPr="003F31D3">
              <w:t>1 210,71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0B41" w:rsidRDefault="00010B41" w:rsidP="00010B41">
            <w:pPr>
              <w:jc w:val="right"/>
            </w:pPr>
            <w:r w:rsidRPr="003F31D3">
              <w:t>48,43</w:t>
            </w:r>
          </w:p>
        </w:tc>
      </w:tr>
      <w:tr w:rsidR="007F2CB0" w:rsidRPr="00E156FE" w:rsidTr="007C0F7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7F2CB0" w:rsidRPr="000659C1" w:rsidRDefault="007F2CB0" w:rsidP="007F2CB0">
            <w:r w:rsidRPr="000659C1">
              <w:t>637005 Špeciálne služby</w:t>
            </w:r>
          </w:p>
        </w:tc>
        <w:tc>
          <w:tcPr>
            <w:tcW w:w="739" w:type="pct"/>
            <w:shd w:val="clear" w:color="auto" w:fill="auto"/>
          </w:tcPr>
          <w:p w:rsidR="007F2CB0" w:rsidRPr="00932F61" w:rsidRDefault="007F2CB0" w:rsidP="007F2CB0"/>
        </w:tc>
        <w:tc>
          <w:tcPr>
            <w:tcW w:w="802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F2CB0" w:rsidRPr="00E156FE" w:rsidTr="007C0F7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7F2CB0" w:rsidRPr="000659C1" w:rsidRDefault="007F2CB0" w:rsidP="007F2CB0">
            <w:r w:rsidRPr="000659C1">
              <w:t>637011 Štúdie, expertízy, posudky</w:t>
            </w:r>
          </w:p>
        </w:tc>
        <w:tc>
          <w:tcPr>
            <w:tcW w:w="739" w:type="pct"/>
            <w:shd w:val="clear" w:color="auto" w:fill="auto"/>
          </w:tcPr>
          <w:p w:rsidR="007F2CB0" w:rsidRPr="00932F61" w:rsidRDefault="007F2CB0" w:rsidP="007F2CB0"/>
        </w:tc>
        <w:tc>
          <w:tcPr>
            <w:tcW w:w="802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F2CB0" w:rsidRPr="00E156FE" w:rsidTr="007C0F7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7F2CB0" w:rsidRDefault="007F2CB0" w:rsidP="007F2CB0">
            <w:r w:rsidRPr="000659C1">
              <w:t>637012 Poplatky a odvody</w:t>
            </w:r>
          </w:p>
        </w:tc>
        <w:tc>
          <w:tcPr>
            <w:tcW w:w="739" w:type="pct"/>
            <w:shd w:val="clear" w:color="auto" w:fill="auto"/>
          </w:tcPr>
          <w:p w:rsidR="007F2CB0" w:rsidRPr="00932F61" w:rsidRDefault="007F2CB0" w:rsidP="007F2CB0"/>
        </w:tc>
        <w:tc>
          <w:tcPr>
            <w:tcW w:w="802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10B41" w:rsidRPr="00E156FE" w:rsidTr="00010B41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0B41" w:rsidRPr="00153502" w:rsidRDefault="00010B41" w:rsidP="00010B41">
            <w:r w:rsidRPr="00153502">
              <w:t>637015 Poistné iné ako do ZP, SP a povinného poistenia vozidla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0B41" w:rsidRPr="00D85938" w:rsidRDefault="00010B41" w:rsidP="00010B41">
            <w:pPr>
              <w:jc w:val="right"/>
            </w:pPr>
            <w:r w:rsidRPr="00D85938">
              <w:t>16 000,00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0B41" w:rsidRPr="00D85938" w:rsidRDefault="00010B41" w:rsidP="00010B41">
            <w:pPr>
              <w:jc w:val="right"/>
            </w:pPr>
            <w:r w:rsidRPr="00D85938">
              <w:t>61,75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0B41" w:rsidRPr="00D85938" w:rsidRDefault="00010B41" w:rsidP="00010B41">
            <w:pPr>
              <w:jc w:val="right"/>
            </w:pPr>
            <w:r w:rsidRPr="00D85938">
              <w:t>61,75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0B41" w:rsidRPr="00D85938" w:rsidRDefault="00010B41" w:rsidP="00010B41">
            <w:pPr>
              <w:jc w:val="right"/>
            </w:pPr>
            <w:r w:rsidRPr="00D85938">
              <w:t>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0B41" w:rsidRPr="00D85938" w:rsidRDefault="00010B41" w:rsidP="00010B41">
            <w:pPr>
              <w:jc w:val="right"/>
            </w:pPr>
            <w:r>
              <w:t>0</w:t>
            </w:r>
          </w:p>
        </w:tc>
      </w:tr>
      <w:tr w:rsidR="00010B41" w:rsidRPr="00E156FE" w:rsidTr="00010B41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0B41" w:rsidRPr="00153502" w:rsidRDefault="00010B41" w:rsidP="00010B41">
            <w:r w:rsidRPr="00153502">
              <w:t>637027 Odmeny zamestnancov mimopracovného pomeru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0B41" w:rsidRPr="00D85938" w:rsidRDefault="00010B41" w:rsidP="00010B41">
            <w:pPr>
              <w:jc w:val="right"/>
            </w:pPr>
            <w:r w:rsidRPr="00D85938">
              <w:t>24 500,00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0B41" w:rsidRPr="00D85938" w:rsidRDefault="00010B41" w:rsidP="00010B41">
            <w:pPr>
              <w:jc w:val="right"/>
            </w:pPr>
            <w:r w:rsidRPr="00D85938">
              <w:t>16 669,36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0B41" w:rsidRPr="00D85938" w:rsidRDefault="00010B41" w:rsidP="00010B41">
            <w:pPr>
              <w:jc w:val="right"/>
            </w:pPr>
            <w:r w:rsidRPr="00D85938">
              <w:t>16 133,24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0B41" w:rsidRPr="00D85938" w:rsidRDefault="00010B41" w:rsidP="00010B41">
            <w:pPr>
              <w:jc w:val="right"/>
            </w:pPr>
            <w:r w:rsidRPr="00D85938">
              <w:t>1 317,79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0B41" w:rsidRPr="00D85938" w:rsidRDefault="00010B41" w:rsidP="00010B41">
            <w:pPr>
              <w:jc w:val="right"/>
            </w:pPr>
            <w:r w:rsidRPr="00D85938">
              <w:t>5,38</w:t>
            </w:r>
          </w:p>
        </w:tc>
      </w:tr>
      <w:tr w:rsidR="00010B41" w:rsidRPr="00E156FE" w:rsidTr="00010B41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0B41" w:rsidRDefault="00010B41" w:rsidP="00010B41">
            <w:r w:rsidRPr="00153502">
              <w:t>711003 Nákup softvéru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0B41" w:rsidRPr="00D85938" w:rsidRDefault="00010B41" w:rsidP="00010B41">
            <w:pPr>
              <w:jc w:val="right"/>
            </w:pPr>
            <w:r w:rsidRPr="00D85938">
              <w:t>44 000,00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0B41" w:rsidRPr="00D85938" w:rsidRDefault="00010B41" w:rsidP="00010B41">
            <w:pPr>
              <w:jc w:val="right"/>
            </w:pPr>
            <w:r w:rsidRPr="00D85938">
              <w:t>7500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0B41" w:rsidRPr="00D85938" w:rsidRDefault="00010B41" w:rsidP="00010B41">
            <w:pPr>
              <w:jc w:val="right"/>
            </w:pPr>
            <w:r w:rsidRPr="00D85938">
              <w:t>7500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0B41" w:rsidRPr="00D85938" w:rsidRDefault="00010B41" w:rsidP="00010B41">
            <w:pPr>
              <w:jc w:val="right"/>
            </w:pPr>
            <w:r w:rsidRPr="00D85938">
              <w:t>7500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0B41" w:rsidRDefault="00010B41" w:rsidP="00010B41">
            <w:pPr>
              <w:jc w:val="right"/>
            </w:pPr>
            <w:r w:rsidRPr="00D85938">
              <w:t>17,05</w:t>
            </w:r>
          </w:p>
        </w:tc>
      </w:tr>
      <w:tr w:rsidR="007F2CB0" w:rsidRPr="00E156FE" w:rsidTr="007C0F7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7F2CB0" w:rsidRPr="0094070C" w:rsidRDefault="007F2CB0" w:rsidP="007F2CB0">
            <w:r w:rsidRPr="0094070C">
              <w:t>711004 Nákup licencií</w:t>
            </w:r>
          </w:p>
        </w:tc>
        <w:tc>
          <w:tcPr>
            <w:tcW w:w="739" w:type="pct"/>
            <w:shd w:val="clear" w:color="auto" w:fill="auto"/>
          </w:tcPr>
          <w:p w:rsidR="007F2CB0" w:rsidRPr="00932F61" w:rsidRDefault="007F2CB0" w:rsidP="007F2CB0"/>
        </w:tc>
        <w:tc>
          <w:tcPr>
            <w:tcW w:w="802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F2CB0" w:rsidRPr="00E156FE" w:rsidTr="007C0F7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7F2CB0" w:rsidRPr="0094070C" w:rsidRDefault="007F2CB0" w:rsidP="007F2CB0">
            <w:r w:rsidRPr="0094070C">
              <w:t>713001 Nákup interiérového vybavenia</w:t>
            </w:r>
          </w:p>
        </w:tc>
        <w:tc>
          <w:tcPr>
            <w:tcW w:w="739" w:type="pct"/>
            <w:shd w:val="clear" w:color="auto" w:fill="auto"/>
          </w:tcPr>
          <w:p w:rsidR="007F2CB0" w:rsidRPr="00932F61" w:rsidRDefault="007F2CB0" w:rsidP="007F2CB0"/>
        </w:tc>
        <w:tc>
          <w:tcPr>
            <w:tcW w:w="802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10B41" w:rsidRPr="00E156FE" w:rsidTr="00010B41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0B41" w:rsidRDefault="00010B41" w:rsidP="00010B41">
            <w:r w:rsidRPr="0094070C">
              <w:t>713002 Nákup výpočtovej techniky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0B41" w:rsidRPr="008F6501" w:rsidRDefault="00010B41" w:rsidP="00010B41">
            <w:pPr>
              <w:jc w:val="right"/>
            </w:pPr>
            <w:r w:rsidRPr="008F6501">
              <w:t>925 094,00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0B41" w:rsidRPr="008F6501" w:rsidRDefault="00010B41" w:rsidP="00010B41">
            <w:pPr>
              <w:jc w:val="right"/>
            </w:pPr>
            <w:r w:rsidRPr="008F6501">
              <w:t>486 594,00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0B41" w:rsidRPr="008F6501" w:rsidRDefault="00010B41" w:rsidP="00010B41">
            <w:pPr>
              <w:jc w:val="right"/>
            </w:pPr>
            <w:r w:rsidRPr="008F6501">
              <w:t>486 594,00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0B41" w:rsidRPr="008F6501" w:rsidRDefault="00010B41" w:rsidP="00010B41">
            <w:pPr>
              <w:jc w:val="right"/>
            </w:pPr>
            <w:r w:rsidRPr="008F6501">
              <w:t>486 594,00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0B41" w:rsidRPr="008F6501" w:rsidRDefault="00010B41" w:rsidP="00010B41">
            <w:pPr>
              <w:jc w:val="right"/>
            </w:pPr>
            <w:r w:rsidRPr="008F6501">
              <w:t>52,60</w:t>
            </w:r>
          </w:p>
        </w:tc>
      </w:tr>
      <w:tr w:rsidR="00010B41" w:rsidRPr="00E156FE" w:rsidTr="00010B41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0B41" w:rsidRDefault="00010B41" w:rsidP="00010B41">
            <w:r w:rsidRPr="00A02D4C">
              <w:t>713003 Nákup telekomunikačnej techniky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0B41" w:rsidRPr="008F6501" w:rsidRDefault="00010B41" w:rsidP="00010B41">
            <w:pPr>
              <w:jc w:val="right"/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010B41" w:rsidRPr="008F6501" w:rsidRDefault="00010B41" w:rsidP="00010B41">
            <w:pPr>
              <w:jc w:val="right"/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10B41" w:rsidRPr="008F6501" w:rsidRDefault="00010B41" w:rsidP="00010B41">
            <w:pPr>
              <w:jc w:val="right"/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010B41" w:rsidRPr="008F6501" w:rsidRDefault="00010B41" w:rsidP="00010B41">
            <w:pPr>
              <w:jc w:val="right"/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010B41" w:rsidRPr="008F6501" w:rsidRDefault="00010B41" w:rsidP="00010B41">
            <w:pPr>
              <w:jc w:val="right"/>
            </w:pPr>
          </w:p>
        </w:tc>
      </w:tr>
      <w:tr w:rsidR="00010B41" w:rsidRPr="00E156FE" w:rsidTr="00010B41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0B41" w:rsidRPr="00F47E8E" w:rsidRDefault="00010B41" w:rsidP="00010B41">
            <w:r w:rsidRPr="00F47E8E">
              <w:t>713004 Nákup prevádzkových strojov, prístrojov, zariadení, techniky a náradia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0B41" w:rsidRPr="008F6501" w:rsidRDefault="00010B41" w:rsidP="00010B41">
            <w:pPr>
              <w:jc w:val="right"/>
            </w:pPr>
            <w:r w:rsidRPr="008F6501">
              <w:t>1 078 099,63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0B41" w:rsidRPr="008F6501" w:rsidRDefault="00010B41" w:rsidP="00010B41">
            <w:pPr>
              <w:jc w:val="right"/>
            </w:pPr>
            <w:r w:rsidRPr="008F6501">
              <w:t>59 756,00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0B41" w:rsidRPr="008F6501" w:rsidRDefault="00010B41" w:rsidP="00010B41">
            <w:pPr>
              <w:jc w:val="right"/>
            </w:pPr>
            <w:r w:rsidRPr="008F6501">
              <w:t>59 756,00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0B41" w:rsidRPr="008F6501" w:rsidRDefault="00010B41" w:rsidP="00010B41">
            <w:pPr>
              <w:jc w:val="right"/>
            </w:pPr>
            <w:r w:rsidRPr="008F6501">
              <w:t>59 756,00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0B41" w:rsidRDefault="00010B41" w:rsidP="00010B41">
            <w:pPr>
              <w:jc w:val="right"/>
            </w:pPr>
            <w:r w:rsidRPr="008F6501">
              <w:t>5,54</w:t>
            </w:r>
          </w:p>
        </w:tc>
      </w:tr>
      <w:tr w:rsidR="007F2CB0" w:rsidRPr="00E156FE" w:rsidTr="007C0F7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7F2CB0" w:rsidRPr="00F47E8E" w:rsidRDefault="007F2CB0" w:rsidP="007F2CB0">
            <w:r w:rsidRPr="00F47E8E">
              <w:t xml:space="preserve">713005 Nákup špeciálnych strojov, prístrojov, zariadení, techniky, náradia a </w:t>
            </w:r>
            <w:r w:rsidRPr="00F47E8E">
              <w:lastRenderedPageBreak/>
              <w:t>materiálu</w:t>
            </w:r>
          </w:p>
        </w:tc>
        <w:tc>
          <w:tcPr>
            <w:tcW w:w="739" w:type="pct"/>
            <w:shd w:val="clear" w:color="auto" w:fill="auto"/>
          </w:tcPr>
          <w:p w:rsidR="007F2CB0" w:rsidRPr="00932F61" w:rsidRDefault="007F2CB0" w:rsidP="007F2CB0"/>
        </w:tc>
        <w:tc>
          <w:tcPr>
            <w:tcW w:w="802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10B41" w:rsidRPr="00E156FE" w:rsidTr="00010B41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0B41" w:rsidRDefault="00010B41" w:rsidP="00010B41">
            <w:r w:rsidRPr="00F47E8E">
              <w:lastRenderedPageBreak/>
              <w:t>713006 Nákup komunikačnej infraštruktúry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0B41" w:rsidRPr="00282634" w:rsidRDefault="00010B41" w:rsidP="00010B41">
            <w:pPr>
              <w:jc w:val="right"/>
            </w:pPr>
            <w:r w:rsidRPr="00282634">
              <w:t>76 000,00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0B41" w:rsidRPr="00282634" w:rsidRDefault="00010B41" w:rsidP="00010B41">
            <w:pPr>
              <w:jc w:val="right"/>
            </w:pPr>
            <w:r w:rsidRPr="00282634">
              <w:t>76 000,00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0B41" w:rsidRPr="00282634" w:rsidRDefault="00010B41" w:rsidP="00010B41">
            <w:pPr>
              <w:jc w:val="right"/>
            </w:pPr>
            <w:r w:rsidRPr="00282634">
              <w:t>76 000,00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0B41" w:rsidRPr="00282634" w:rsidRDefault="00010B41" w:rsidP="00010B41">
            <w:pPr>
              <w:jc w:val="right"/>
            </w:pPr>
            <w:r w:rsidRPr="00282634">
              <w:t>76 000,00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0B41" w:rsidRPr="00282634" w:rsidRDefault="00010B41" w:rsidP="00010B41">
            <w:pPr>
              <w:jc w:val="right"/>
            </w:pPr>
            <w:r w:rsidRPr="00282634">
              <w:t>100,00</w:t>
            </w:r>
          </w:p>
        </w:tc>
      </w:tr>
      <w:tr w:rsidR="00010B41" w:rsidRPr="00E156FE" w:rsidTr="00010B41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0B41" w:rsidRPr="003A20D3" w:rsidRDefault="00010B41" w:rsidP="00010B41">
            <w:r w:rsidRPr="003A20D3">
              <w:t>716 Prípravná a projektová dokumentácia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0B41" w:rsidRPr="00282634" w:rsidRDefault="00010B41" w:rsidP="00010B41">
            <w:pPr>
              <w:jc w:val="right"/>
            </w:pPr>
            <w:r w:rsidRPr="00282634">
              <w:t>34 780,00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0B41" w:rsidRPr="00282634" w:rsidRDefault="00010B41" w:rsidP="00010B41">
            <w:pPr>
              <w:jc w:val="right"/>
            </w:pPr>
            <w:r w:rsidRPr="00282634">
              <w:t>26 400,00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0B41" w:rsidRPr="00282634" w:rsidRDefault="00010B41" w:rsidP="00010B41">
            <w:pPr>
              <w:jc w:val="right"/>
            </w:pPr>
            <w:r w:rsidRPr="00282634">
              <w:t>26 400,00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0B41" w:rsidRPr="00282634" w:rsidRDefault="00010B41" w:rsidP="00010B41">
            <w:pPr>
              <w:jc w:val="right"/>
            </w:pPr>
            <w:r w:rsidRPr="00282634">
              <w:t>krátené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0B41" w:rsidRDefault="00010B41" w:rsidP="00010B41">
            <w:pPr>
              <w:jc w:val="right"/>
            </w:pPr>
            <w:r>
              <w:t>0</w:t>
            </w:r>
          </w:p>
        </w:tc>
      </w:tr>
      <w:tr w:rsidR="007F2CB0" w:rsidRPr="00E156FE" w:rsidTr="007C0F7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7F2CB0" w:rsidRPr="003A20D3" w:rsidRDefault="007F2CB0" w:rsidP="007F2CB0">
            <w:r w:rsidRPr="003A20D3">
              <w:t>717001 Realizácia nových stavieb</w:t>
            </w:r>
          </w:p>
        </w:tc>
        <w:tc>
          <w:tcPr>
            <w:tcW w:w="739" w:type="pct"/>
            <w:shd w:val="clear" w:color="auto" w:fill="auto"/>
          </w:tcPr>
          <w:p w:rsidR="007F2CB0" w:rsidRPr="00932F61" w:rsidRDefault="007F2CB0" w:rsidP="007F2CB0"/>
        </w:tc>
        <w:tc>
          <w:tcPr>
            <w:tcW w:w="802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7F2CB0" w:rsidRDefault="007F2CB0" w:rsidP="007F2CB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10B41" w:rsidRPr="00E156FE" w:rsidTr="00010B41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0B41" w:rsidRDefault="00010B41" w:rsidP="00010B41">
            <w:r w:rsidRPr="003A20D3">
              <w:t>717002 Rekonštrukcia a modernizácia stavieb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0B41" w:rsidRPr="00EB3D30" w:rsidRDefault="00010B41" w:rsidP="00010B41">
            <w:pPr>
              <w:jc w:val="right"/>
            </w:pPr>
            <w:r w:rsidRPr="00EB3D30">
              <w:t>628 942,53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0B41" w:rsidRPr="00EB3D30" w:rsidRDefault="00010B41" w:rsidP="00010B41">
            <w:pPr>
              <w:jc w:val="right"/>
            </w:pPr>
            <w:r w:rsidRPr="00EB3D30">
              <w:t>61 247,49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0B41" w:rsidRPr="00EB3D30" w:rsidRDefault="00010B41" w:rsidP="00010B41">
            <w:pPr>
              <w:jc w:val="right"/>
            </w:pPr>
            <w:r w:rsidRPr="00EB3D30">
              <w:t>61 247,49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0B41" w:rsidRPr="00EB3D30" w:rsidRDefault="00010B41" w:rsidP="00010B41">
            <w:pPr>
              <w:jc w:val="right"/>
            </w:pPr>
            <w:r w:rsidRPr="00EB3D30">
              <w:t>51 088,72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0B41" w:rsidRPr="00EB3D30" w:rsidRDefault="00010B41" w:rsidP="00010B41">
            <w:pPr>
              <w:jc w:val="right"/>
            </w:pPr>
            <w:r w:rsidRPr="00EB3D30">
              <w:t>8,12</w:t>
            </w:r>
          </w:p>
        </w:tc>
      </w:tr>
      <w:tr w:rsidR="00010B41" w:rsidRPr="00E156FE" w:rsidTr="00010B41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0B41" w:rsidRPr="00542E66" w:rsidRDefault="00010B41" w:rsidP="00010B41">
            <w:r w:rsidRPr="00542E66">
              <w:t>717003 Prístavby, nadstavby, stavebné úpravy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0B41" w:rsidRPr="00EB3D30" w:rsidRDefault="00010B41" w:rsidP="00010B41">
            <w:pPr>
              <w:jc w:val="right"/>
            </w:pPr>
            <w:r w:rsidRPr="00EB3D30">
              <w:t>125 300,69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0B41" w:rsidRPr="00EB3D30" w:rsidRDefault="00010B41" w:rsidP="00010B41">
            <w:pPr>
              <w:jc w:val="right"/>
            </w:pPr>
            <w:r w:rsidRPr="00EB3D30">
              <w:t>3 312,00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0B41" w:rsidRPr="00EB3D30" w:rsidRDefault="00010B41" w:rsidP="00010B41">
            <w:pPr>
              <w:jc w:val="right"/>
            </w:pPr>
            <w:r w:rsidRPr="00EB3D30">
              <w:t>3 312,00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0B41" w:rsidRPr="00EB3D30" w:rsidRDefault="00010B41" w:rsidP="00010B41">
            <w:pPr>
              <w:jc w:val="right"/>
            </w:pPr>
            <w:r w:rsidRPr="00EB3D30">
              <w:t>3 312,00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0B41" w:rsidRPr="00EB3D30" w:rsidRDefault="00010B41" w:rsidP="00010B41">
            <w:pPr>
              <w:jc w:val="right"/>
            </w:pPr>
            <w:r w:rsidRPr="00EB3D30">
              <w:t>2,64</w:t>
            </w:r>
          </w:p>
        </w:tc>
      </w:tr>
      <w:tr w:rsidR="00010B41" w:rsidRPr="00E156FE" w:rsidTr="00010B41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0B41" w:rsidRDefault="00010B41" w:rsidP="00010B41">
            <w:r w:rsidRPr="00542E66">
              <w:t>718004 Modernizácia Prevádzkových strojov, prístrojov, zariadení, techniky a náradia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0B41" w:rsidRPr="00EB3D30" w:rsidRDefault="00010B41" w:rsidP="00010B41">
            <w:pPr>
              <w:jc w:val="right"/>
            </w:pPr>
            <w:r w:rsidRPr="00EB3D30">
              <w:t>8 812,00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0B41" w:rsidRPr="00EB3D30" w:rsidRDefault="00010B41" w:rsidP="00010B41">
            <w:pPr>
              <w:jc w:val="right"/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10B41" w:rsidRPr="00EB3D30" w:rsidRDefault="00010B41" w:rsidP="00010B41">
            <w:pPr>
              <w:jc w:val="right"/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010B41" w:rsidRPr="00EB3D30" w:rsidRDefault="00010B41" w:rsidP="00010B41">
            <w:pPr>
              <w:jc w:val="right"/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010B41" w:rsidRDefault="00010B41" w:rsidP="00010B41">
            <w:pPr>
              <w:jc w:val="right"/>
            </w:pPr>
          </w:p>
        </w:tc>
      </w:tr>
      <w:tr w:rsidR="00010B41" w:rsidRPr="00E156FE" w:rsidTr="00010B41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0B41" w:rsidRPr="00E3587A" w:rsidRDefault="00010B41" w:rsidP="00010B41">
            <w:pPr>
              <w:rPr>
                <w:rFonts w:cs="Arial"/>
                <w:b/>
              </w:rPr>
            </w:pPr>
            <w:r w:rsidRPr="00E3587A">
              <w:rPr>
                <w:rFonts w:cs="Arial"/>
                <w:b/>
                <w:bCs/>
              </w:rPr>
              <w:t>Spolu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0B41" w:rsidRDefault="00010B41" w:rsidP="00010B41">
            <w:pPr>
              <w:jc w:val="right"/>
            </w:pPr>
            <w:r w:rsidRPr="00932F61">
              <w:t>4 486 424,53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0B41" w:rsidRPr="00EA24CF" w:rsidRDefault="00010B41" w:rsidP="00010B41">
            <w:pPr>
              <w:jc w:val="right"/>
            </w:pPr>
            <w:r w:rsidRPr="00EA24CF">
              <w:t>1 778 637,92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0B41" w:rsidRPr="00EA24CF" w:rsidRDefault="00010B41" w:rsidP="00010B41">
            <w:pPr>
              <w:jc w:val="right"/>
            </w:pPr>
            <w:r w:rsidRPr="00EA24CF">
              <w:t>1 756 457,92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0B41" w:rsidRPr="00EA24CF" w:rsidRDefault="00010B41" w:rsidP="00010B41">
            <w:pPr>
              <w:jc w:val="right"/>
            </w:pPr>
            <w:r w:rsidRPr="00EA24CF">
              <w:t>1 319 630,33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0B41" w:rsidRDefault="00010B41" w:rsidP="00010B41">
            <w:pPr>
              <w:jc w:val="right"/>
            </w:pPr>
            <w:r w:rsidRPr="00EA24CF">
              <w:t>29,41</w:t>
            </w:r>
          </w:p>
        </w:tc>
      </w:tr>
      <w:tr w:rsidR="00680FE9" w:rsidRPr="00E156FE" w:rsidTr="007C0F7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Pr="00E3587A" w:rsidRDefault="00680FE9" w:rsidP="007C0F74">
            <w:pPr>
              <w:rPr>
                <w:rFonts w:cs="Arial"/>
                <w:b/>
                <w:bCs/>
              </w:rPr>
            </w:pPr>
          </w:p>
        </w:tc>
        <w:tc>
          <w:tcPr>
            <w:tcW w:w="739" w:type="pct"/>
            <w:shd w:val="clear" w:color="auto" w:fill="auto"/>
          </w:tcPr>
          <w:p w:rsidR="00680FE9" w:rsidRPr="00E3587A" w:rsidRDefault="00680FE9" w:rsidP="007C0F74">
            <w:pPr>
              <w:rPr>
                <w:rFonts w:cs="Arial"/>
              </w:rPr>
            </w:pPr>
          </w:p>
        </w:tc>
        <w:tc>
          <w:tcPr>
            <w:tcW w:w="802" w:type="pct"/>
            <w:shd w:val="clear" w:color="auto" w:fill="auto"/>
          </w:tcPr>
          <w:p w:rsidR="00680FE9" w:rsidRPr="00E3587A" w:rsidRDefault="00680FE9" w:rsidP="007C0F74">
            <w:pPr>
              <w:rPr>
                <w:rFonts w:cs="Arial"/>
              </w:rPr>
            </w:pPr>
          </w:p>
        </w:tc>
        <w:tc>
          <w:tcPr>
            <w:tcW w:w="804" w:type="pct"/>
            <w:shd w:val="clear" w:color="auto" w:fill="auto"/>
          </w:tcPr>
          <w:p w:rsidR="00680FE9" w:rsidRPr="00E3587A" w:rsidRDefault="00680FE9" w:rsidP="007C0F74">
            <w:pPr>
              <w:rPr>
                <w:rFonts w:cs="Arial"/>
              </w:rPr>
            </w:pPr>
          </w:p>
        </w:tc>
        <w:tc>
          <w:tcPr>
            <w:tcW w:w="669" w:type="pct"/>
            <w:shd w:val="clear" w:color="auto" w:fill="auto"/>
          </w:tcPr>
          <w:p w:rsidR="00680FE9" w:rsidRPr="00E3587A" w:rsidRDefault="00680FE9" w:rsidP="007C0F74">
            <w:pPr>
              <w:rPr>
                <w:rFonts w:cs="Arial"/>
              </w:rPr>
            </w:pPr>
          </w:p>
        </w:tc>
        <w:tc>
          <w:tcPr>
            <w:tcW w:w="934" w:type="pct"/>
            <w:shd w:val="clear" w:color="auto" w:fill="auto"/>
          </w:tcPr>
          <w:p w:rsidR="00680FE9" w:rsidRPr="00E3587A" w:rsidRDefault="00680FE9" w:rsidP="007C0F74">
            <w:pPr>
              <w:jc w:val="right"/>
              <w:rPr>
                <w:rFonts w:cs="Arial"/>
              </w:rPr>
            </w:pPr>
          </w:p>
        </w:tc>
      </w:tr>
      <w:tr w:rsidR="00680FE9" w:rsidRPr="00E156FE" w:rsidTr="007C0F74">
        <w:tc>
          <w:tcPr>
            <w:tcW w:w="5000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Pr="00E3587A" w:rsidRDefault="00680FE9" w:rsidP="007C0F74">
            <w:pPr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Zdôvodnenie nesúladu skutočného a plánovaného stavu finančnej realizácie projektu</w:t>
            </w:r>
            <w:r>
              <w:rPr>
                <w:rStyle w:val="Odkaznapoznmkupodiarou"/>
                <w:rFonts w:cs="Arial"/>
                <w:b/>
              </w:rPr>
              <w:t>5</w:t>
            </w:r>
          </w:p>
        </w:tc>
      </w:tr>
      <w:tr w:rsidR="00680FE9" w:rsidRPr="00E156FE" w:rsidTr="007C0F74">
        <w:tc>
          <w:tcPr>
            <w:tcW w:w="10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9BD4F9" w:themeFill="background2" w:themeFillShade="E6"/>
          </w:tcPr>
          <w:p w:rsidR="00680FE9" w:rsidRPr="00E3587A" w:rsidRDefault="00680FE9" w:rsidP="007C0F74">
            <w:pPr>
              <w:rPr>
                <w:rFonts w:cs="Arial"/>
                <w:b/>
                <w:bCs/>
              </w:rPr>
            </w:pPr>
          </w:p>
        </w:tc>
        <w:tc>
          <w:tcPr>
            <w:tcW w:w="3948" w:type="pct"/>
            <w:gridSpan w:val="5"/>
            <w:shd w:val="clear" w:color="auto" w:fill="auto"/>
          </w:tcPr>
          <w:p w:rsidR="00680FE9" w:rsidRPr="00E3587A" w:rsidRDefault="00680FE9" w:rsidP="007C0F74">
            <w:pPr>
              <w:rPr>
                <w:rFonts w:cs="Arial"/>
                <w:b/>
              </w:rPr>
            </w:pPr>
          </w:p>
        </w:tc>
      </w:tr>
    </w:tbl>
    <w:p w:rsidR="00EF13F2" w:rsidRDefault="00EF13F2" w:rsidP="005F0BD5"/>
    <w:p w:rsidR="00E3587A" w:rsidRDefault="00E3587A" w:rsidP="005F0BD5"/>
    <w:p w:rsidR="003142EF" w:rsidRPr="008D01A9" w:rsidRDefault="003142EF" w:rsidP="008D01A9">
      <w:r>
        <w:t>________________________</w:t>
      </w:r>
    </w:p>
    <w:p w:rsidR="003142EF" w:rsidRPr="00E8780A" w:rsidRDefault="001C42BD" w:rsidP="003142EF">
      <w:pPr>
        <w:pStyle w:val="Textpoznmkypodiarou"/>
        <w:rPr>
          <w:rFonts w:ascii="Arial Narrow" w:hAnsi="Arial Narrow"/>
          <w:sz w:val="18"/>
          <w:szCs w:val="18"/>
        </w:rPr>
      </w:pPr>
      <w:r>
        <w:rPr>
          <w:rStyle w:val="Odkaznapoznmkupodiarou"/>
          <w:rFonts w:ascii="Arial Narrow" w:hAnsi="Arial Narrow"/>
          <w:sz w:val="18"/>
          <w:szCs w:val="18"/>
        </w:rPr>
        <w:t xml:space="preserve">3 </w:t>
      </w:r>
      <w:r>
        <w:rPr>
          <w:rFonts w:ascii="Arial Narrow" w:hAnsi="Arial Narrow"/>
          <w:sz w:val="18"/>
          <w:szCs w:val="18"/>
        </w:rPr>
        <w:t xml:space="preserve"> </w:t>
      </w:r>
      <w:r w:rsidR="005028DD">
        <w:rPr>
          <w:rFonts w:ascii="Arial Narrow" w:hAnsi="Arial Narrow"/>
          <w:sz w:val="18"/>
          <w:szCs w:val="18"/>
        </w:rPr>
        <w:t>Uvádzať  sumu</w:t>
      </w:r>
      <w:r w:rsidR="003142EF" w:rsidRPr="003425D3">
        <w:rPr>
          <w:rFonts w:ascii="Arial Narrow" w:hAnsi="Arial Narrow"/>
          <w:sz w:val="18"/>
          <w:szCs w:val="18"/>
        </w:rPr>
        <w:t xml:space="preserve"> výdavkov uhradených </w:t>
      </w:r>
      <w:r w:rsidR="003142EF">
        <w:rPr>
          <w:rFonts w:ascii="Arial Narrow" w:hAnsi="Arial Narrow"/>
          <w:sz w:val="18"/>
          <w:szCs w:val="18"/>
        </w:rPr>
        <w:t xml:space="preserve"> zo strany </w:t>
      </w:r>
      <w:r w:rsidR="003142EF" w:rsidRPr="003425D3">
        <w:rPr>
          <w:rFonts w:ascii="Arial Narrow" w:hAnsi="Arial Narrow"/>
          <w:sz w:val="18"/>
          <w:szCs w:val="18"/>
        </w:rPr>
        <w:t>prijímateľ</w:t>
      </w:r>
      <w:r w:rsidR="003142EF">
        <w:rPr>
          <w:rFonts w:ascii="Arial Narrow" w:hAnsi="Arial Narrow"/>
          <w:sz w:val="18"/>
          <w:szCs w:val="18"/>
        </w:rPr>
        <w:t>a dodávateľom</w:t>
      </w:r>
      <w:r w:rsidR="003142EF" w:rsidRPr="003425D3">
        <w:rPr>
          <w:rFonts w:ascii="Arial Narrow" w:hAnsi="Arial Narrow"/>
          <w:sz w:val="18"/>
          <w:szCs w:val="18"/>
        </w:rPr>
        <w:t xml:space="preserve"> za sledované obdobie.</w:t>
      </w:r>
    </w:p>
    <w:p w:rsidR="003142EF" w:rsidRDefault="00E22E36" w:rsidP="003142EF">
      <w:pPr>
        <w:pStyle w:val="Textpoznmkypodiarou"/>
        <w:rPr>
          <w:rFonts w:ascii="Arial Narrow" w:hAnsi="Arial Narrow"/>
          <w:sz w:val="18"/>
          <w:szCs w:val="18"/>
        </w:rPr>
      </w:pPr>
      <w:r w:rsidRPr="00E22E36">
        <w:rPr>
          <w:rStyle w:val="Odkaznapoznmkupodiarou"/>
          <w:rFonts w:ascii="Arial Narrow" w:hAnsi="Arial Narrow"/>
          <w:sz w:val="18"/>
          <w:szCs w:val="18"/>
        </w:rPr>
        <w:t>4</w:t>
      </w:r>
      <w:r w:rsidR="003142EF">
        <w:t xml:space="preserve"> </w:t>
      </w:r>
      <w:r w:rsidR="003142EF">
        <w:rPr>
          <w:rFonts w:ascii="Arial Narrow" w:hAnsi="Arial Narrow"/>
          <w:sz w:val="18"/>
          <w:szCs w:val="18"/>
        </w:rPr>
        <w:t>U</w:t>
      </w:r>
      <w:r w:rsidR="002F7E3A">
        <w:rPr>
          <w:rFonts w:ascii="Arial Narrow" w:hAnsi="Arial Narrow"/>
          <w:sz w:val="18"/>
          <w:szCs w:val="18"/>
        </w:rPr>
        <w:t xml:space="preserve">vádzať </w:t>
      </w:r>
      <w:r w:rsidR="003142EF" w:rsidRPr="00DA76AB">
        <w:rPr>
          <w:rFonts w:ascii="Arial Narrow" w:hAnsi="Arial Narrow"/>
          <w:sz w:val="18"/>
          <w:szCs w:val="18"/>
        </w:rPr>
        <w:t xml:space="preserve"> sumu oprávnených výdavkov v ŽoP </w:t>
      </w:r>
      <w:r w:rsidR="002F7E3A">
        <w:rPr>
          <w:rFonts w:ascii="Arial Narrow" w:hAnsi="Arial Narrow"/>
          <w:sz w:val="18"/>
          <w:szCs w:val="18"/>
        </w:rPr>
        <w:t xml:space="preserve">        </w:t>
      </w:r>
    </w:p>
    <w:p w:rsidR="002F7E3A" w:rsidRDefault="002F7E3A" w:rsidP="003142EF">
      <w:pPr>
        <w:pStyle w:val="Textpoznmkypodiarou"/>
      </w:pPr>
      <w:r>
        <w:rPr>
          <w:rFonts w:ascii="Arial Narrow" w:hAnsi="Arial Narrow"/>
          <w:sz w:val="18"/>
          <w:szCs w:val="18"/>
          <w:vertAlign w:val="superscript"/>
        </w:rPr>
        <w:t xml:space="preserve">5 </w:t>
      </w:r>
      <w:r>
        <w:rPr>
          <w:rFonts w:ascii="Arial Narrow" w:hAnsi="Arial Narrow"/>
          <w:sz w:val="18"/>
          <w:szCs w:val="18"/>
        </w:rPr>
        <w:t xml:space="preserve"> </w:t>
      </w:r>
      <w:r w:rsidRPr="003425D3">
        <w:rPr>
          <w:rFonts w:ascii="Arial Narrow" w:hAnsi="Arial Narrow"/>
          <w:sz w:val="18"/>
          <w:szCs w:val="18"/>
        </w:rPr>
        <w:t>Uvádza</w:t>
      </w:r>
      <w:r>
        <w:rPr>
          <w:rFonts w:ascii="Arial Narrow" w:hAnsi="Arial Narrow"/>
          <w:sz w:val="18"/>
          <w:szCs w:val="18"/>
        </w:rPr>
        <w:t xml:space="preserve">ť </w:t>
      </w:r>
      <w:r w:rsidRPr="003425D3">
        <w:rPr>
          <w:rFonts w:ascii="Arial Narrow" w:hAnsi="Arial Narrow"/>
          <w:sz w:val="18"/>
          <w:szCs w:val="18"/>
        </w:rPr>
        <w:t xml:space="preserve"> iba v prípade nesúladu skutočného a plánovaného stavu finančnej realizácie aktivít projektu</w:t>
      </w:r>
      <w:r w:rsidRPr="00E60F5D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podľa </w:t>
      </w:r>
      <w:r w:rsidRPr="00DA76AB">
        <w:rPr>
          <w:rFonts w:ascii="Arial Narrow" w:hAnsi="Arial Narrow"/>
          <w:sz w:val="18"/>
          <w:szCs w:val="18"/>
        </w:rPr>
        <w:t>plánu predkladania  ŽoP</w:t>
      </w:r>
      <w:r>
        <w:rPr>
          <w:rFonts w:ascii="Arial Narrow" w:hAnsi="Arial Narrow"/>
          <w:sz w:val="18"/>
          <w:szCs w:val="18"/>
        </w:rPr>
        <w:t xml:space="preserve"> </w:t>
      </w:r>
      <w:r w:rsidRPr="00424516">
        <w:rPr>
          <w:rFonts w:ascii="Arial Narrow" w:hAnsi="Arial Narrow" w:cs="Arial"/>
          <w:bCs/>
          <w:sz w:val="18"/>
          <w:szCs w:val="18"/>
        </w:rPr>
        <w:t xml:space="preserve"> </w:t>
      </w:r>
      <w:r w:rsidRPr="003425D3">
        <w:rPr>
          <w:rFonts w:ascii="Arial Narrow" w:hAnsi="Arial Narrow" w:cs="Arial"/>
          <w:bCs/>
          <w:sz w:val="18"/>
          <w:szCs w:val="18"/>
        </w:rPr>
        <w:t>vrátane špecifikácie nápravných opatrení.</w:t>
      </w:r>
    </w:p>
    <w:p w:rsidR="00147445" w:rsidRDefault="00147445" w:rsidP="005F0BD5"/>
    <w:p w:rsidR="00E22E36" w:rsidRDefault="00E22E36" w:rsidP="005F0BD5"/>
    <w:p w:rsidR="00D70695" w:rsidRDefault="00147445" w:rsidP="005F0BD5">
      <w:r>
        <w:t>4</w:t>
      </w:r>
      <w:r w:rsidR="00C706AA">
        <w:t xml:space="preserve">. Prílohy </w:t>
      </w:r>
    </w:p>
    <w:p w:rsidR="00D70695" w:rsidRDefault="00D70695" w:rsidP="005F0BD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Pr="00C706AA" w:rsidRDefault="00C706AA" w:rsidP="005F0BD5">
            <w:pPr>
              <w:rPr>
                <w:b/>
              </w:rPr>
            </w:pPr>
            <w:r w:rsidRPr="00C706AA">
              <w:rPr>
                <w:b/>
              </w:rPr>
              <w:t xml:space="preserve">P.č. </w:t>
            </w:r>
          </w:p>
        </w:tc>
        <w:tc>
          <w:tcPr>
            <w:tcW w:w="8395" w:type="dxa"/>
            <w:shd w:val="clear" w:color="auto" w:fill="9BD4F9" w:themeFill="background2" w:themeFillShade="E6"/>
          </w:tcPr>
          <w:p w:rsidR="00C706AA" w:rsidRPr="00C706AA" w:rsidRDefault="00C706AA" w:rsidP="005F0BD5">
            <w:pPr>
              <w:rPr>
                <w:b/>
              </w:rPr>
            </w:pPr>
            <w:r w:rsidRPr="00C706AA">
              <w:rPr>
                <w:b/>
              </w:rPr>
              <w:t xml:space="preserve">Názov prílohy </w:t>
            </w:r>
          </w:p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C706AA" w:rsidP="005F0BD5">
            <w:r>
              <w:t>1.</w:t>
            </w:r>
          </w:p>
        </w:tc>
        <w:tc>
          <w:tcPr>
            <w:tcW w:w="8395" w:type="dxa"/>
          </w:tcPr>
          <w:p w:rsidR="00C706AA" w:rsidRDefault="00C706AA" w:rsidP="00D62A6B">
            <w:r>
              <w:t xml:space="preserve">Plán predkladania ŽoP </w:t>
            </w:r>
            <w:r w:rsidR="00D62A6B">
              <w:t>na nasledujúci</w:t>
            </w:r>
            <w:r>
              <w:t xml:space="preserve"> mesiac </w:t>
            </w:r>
          </w:p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D2047B" w:rsidP="005F0BD5">
            <w:r>
              <w:t xml:space="preserve">2. </w:t>
            </w:r>
          </w:p>
        </w:tc>
        <w:tc>
          <w:tcPr>
            <w:tcW w:w="8395" w:type="dxa"/>
          </w:tcPr>
          <w:p w:rsidR="00C706AA" w:rsidRDefault="0039448D" w:rsidP="00D2047B">
            <w:r>
              <w:t xml:space="preserve">Fotodokumentácia </w:t>
            </w:r>
          </w:p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D2047B" w:rsidP="005F0BD5">
            <w:r>
              <w:t xml:space="preserve">3. </w:t>
            </w:r>
          </w:p>
        </w:tc>
        <w:tc>
          <w:tcPr>
            <w:tcW w:w="8395" w:type="dxa"/>
          </w:tcPr>
          <w:p w:rsidR="00C706AA" w:rsidRDefault="00C706AA" w:rsidP="005F0BD5"/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C706AA" w:rsidP="005F0BD5"/>
        </w:tc>
        <w:tc>
          <w:tcPr>
            <w:tcW w:w="8395" w:type="dxa"/>
          </w:tcPr>
          <w:p w:rsidR="00C706AA" w:rsidRDefault="00C706AA" w:rsidP="005F0BD5"/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C706AA" w:rsidP="005F0BD5"/>
        </w:tc>
        <w:tc>
          <w:tcPr>
            <w:tcW w:w="8395" w:type="dxa"/>
          </w:tcPr>
          <w:p w:rsidR="00C706AA" w:rsidRDefault="00C706AA" w:rsidP="005F0BD5"/>
        </w:tc>
      </w:tr>
    </w:tbl>
    <w:p w:rsidR="00D70695" w:rsidRDefault="00D70695" w:rsidP="005F0BD5"/>
    <w:p w:rsidR="00D70695" w:rsidRDefault="00D70695" w:rsidP="005F0BD5"/>
    <w:p w:rsidR="00D70695" w:rsidRDefault="00D70695" w:rsidP="005F0BD5"/>
    <w:p w:rsidR="00D70695" w:rsidRDefault="00D70695" w:rsidP="005F0BD5"/>
    <w:p w:rsidR="00D70695" w:rsidRDefault="00D70695" w:rsidP="005F0BD5"/>
    <w:p w:rsidR="00D70695" w:rsidRDefault="00D70695" w:rsidP="005F0BD5"/>
    <w:p w:rsidR="00147445" w:rsidRDefault="00147445" w:rsidP="005F0BD5"/>
    <w:p w:rsidR="00147445" w:rsidRDefault="00147445" w:rsidP="005F0BD5"/>
    <w:p w:rsidR="00147445" w:rsidRDefault="00147445" w:rsidP="005F0BD5"/>
    <w:p w:rsidR="00147445" w:rsidRDefault="00147445" w:rsidP="005F0BD5"/>
    <w:p w:rsidR="00C322BA" w:rsidRPr="00C65A6F" w:rsidRDefault="00C322BA" w:rsidP="005F0BD5"/>
    <w:p w:rsidR="00C65A6F" w:rsidRPr="00C65A6F" w:rsidRDefault="00C65A6F" w:rsidP="00C65A6F">
      <w:pPr>
        <w:pStyle w:val="Zkladntext2"/>
        <w:rPr>
          <w:rFonts w:asciiTheme="minorHAnsi" w:hAnsiTheme="minorHAnsi" w:cs="Arial"/>
          <w:sz w:val="22"/>
          <w:szCs w:val="22"/>
        </w:rPr>
      </w:pPr>
    </w:p>
    <w:p w:rsidR="008A54FD" w:rsidRDefault="008A54FD" w:rsidP="005F0BD5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68"/>
        <w:gridCol w:w="4000"/>
      </w:tblGrid>
      <w:tr w:rsidR="00322208" w:rsidRPr="002877FE" w:rsidTr="001B3823">
        <w:trPr>
          <w:jc w:val="center"/>
        </w:trPr>
        <w:tc>
          <w:tcPr>
            <w:tcW w:w="8568" w:type="dxa"/>
            <w:gridSpan w:val="2"/>
          </w:tcPr>
          <w:p w:rsidR="00322208" w:rsidRPr="002877FE" w:rsidRDefault="00322208" w:rsidP="001B3823">
            <w:pPr>
              <w:spacing w:before="20" w:after="20"/>
              <w:jc w:val="both"/>
              <w:rPr>
                <w:rFonts w:cs="Arial"/>
                <w:b/>
                <w:bCs/>
                <w:u w:val="single"/>
              </w:rPr>
            </w:pPr>
            <w:r w:rsidRPr="002877FE">
              <w:rPr>
                <w:rFonts w:cs="Arial"/>
                <w:b/>
                <w:bCs/>
                <w:u w:val="single"/>
              </w:rPr>
              <w:t>Vypracoval:</w:t>
            </w:r>
            <w:r w:rsidRPr="005531A7">
              <w:rPr>
                <w:rFonts w:cs="Arial"/>
                <w:b/>
                <w:bCs/>
              </w:rPr>
              <w:t xml:space="preserve"> RNDr. Jozef Gajdoš, PhD.</w:t>
            </w:r>
          </w:p>
        </w:tc>
      </w:tr>
      <w:tr w:rsidR="00322208" w:rsidRPr="00C65A6F" w:rsidTr="001B3823">
        <w:trPr>
          <w:jc w:val="center"/>
        </w:trPr>
        <w:tc>
          <w:tcPr>
            <w:tcW w:w="4568" w:type="dxa"/>
          </w:tcPr>
          <w:p w:rsidR="00322208" w:rsidRDefault="00322208" w:rsidP="001B3823">
            <w:pPr>
              <w:spacing w:before="120" w:after="120"/>
              <w:jc w:val="both"/>
              <w:rPr>
                <w:rFonts w:cs="Arial"/>
              </w:rPr>
            </w:pPr>
            <w:r w:rsidRPr="00C65A6F">
              <w:rPr>
                <w:rFonts w:cs="Arial"/>
              </w:rPr>
              <w:t>Pozícia zodpovedného pracovníka:</w:t>
            </w:r>
          </w:p>
          <w:p w:rsidR="00322208" w:rsidRPr="00C65A6F" w:rsidRDefault="00322208" w:rsidP="001B3823">
            <w:pPr>
              <w:spacing w:before="120" w:after="120"/>
              <w:jc w:val="both"/>
              <w:rPr>
                <w:rFonts w:cs="Arial"/>
              </w:rPr>
            </w:pPr>
            <w:r w:rsidRPr="00C65A6F">
              <w:rPr>
                <w:rFonts w:cs="Arial"/>
              </w:rPr>
              <w:t>Dátum vyhotoven</w:t>
            </w:r>
            <w:r>
              <w:rPr>
                <w:rFonts w:cs="Arial"/>
              </w:rPr>
              <w:t>ia:</w:t>
            </w:r>
          </w:p>
        </w:tc>
        <w:tc>
          <w:tcPr>
            <w:tcW w:w="4000" w:type="dxa"/>
            <w:tcMar>
              <w:right w:w="851" w:type="dxa"/>
            </w:tcMar>
          </w:tcPr>
          <w:p w:rsidR="00322208" w:rsidRDefault="00322208" w:rsidP="001B3823">
            <w:pPr>
              <w:spacing w:before="20" w:after="20"/>
              <w:ind w:right="-820"/>
              <w:rPr>
                <w:rFonts w:cs="Arial"/>
              </w:rPr>
            </w:pPr>
            <w:r>
              <w:rPr>
                <w:rFonts w:cs="Arial"/>
              </w:rPr>
              <w:t>Projektový manažér</w:t>
            </w:r>
          </w:p>
          <w:p w:rsidR="00322208" w:rsidRDefault="00322208" w:rsidP="001B3823">
            <w:pPr>
              <w:spacing w:before="20" w:after="20"/>
              <w:ind w:right="-820"/>
              <w:rPr>
                <w:rFonts w:cs="Arial"/>
              </w:rPr>
            </w:pPr>
          </w:p>
          <w:p w:rsidR="00322208" w:rsidRPr="00C65A6F" w:rsidRDefault="00322208" w:rsidP="00322208">
            <w:pPr>
              <w:spacing w:before="20" w:after="20"/>
              <w:ind w:right="-820"/>
              <w:rPr>
                <w:rFonts w:cs="Arial"/>
              </w:rPr>
            </w:pPr>
            <w:r>
              <w:rPr>
                <w:rFonts w:cs="Arial"/>
              </w:rPr>
              <w:t>10</w:t>
            </w:r>
            <w:r>
              <w:rPr>
                <w:rFonts w:cs="Arial"/>
              </w:rPr>
              <w:t>.1</w:t>
            </w:r>
            <w:r>
              <w:rPr>
                <w:rFonts w:cs="Arial"/>
              </w:rPr>
              <w:t>1</w:t>
            </w:r>
            <w:r>
              <w:rPr>
                <w:rFonts w:cs="Arial"/>
              </w:rPr>
              <w:t>.2015</w:t>
            </w:r>
          </w:p>
        </w:tc>
      </w:tr>
      <w:tr w:rsidR="00322208" w:rsidRPr="00C65A6F" w:rsidTr="001B3823">
        <w:trPr>
          <w:jc w:val="center"/>
        </w:trPr>
        <w:tc>
          <w:tcPr>
            <w:tcW w:w="4568" w:type="dxa"/>
            <w:vAlign w:val="bottom"/>
          </w:tcPr>
          <w:p w:rsidR="00322208" w:rsidRPr="00C65A6F" w:rsidRDefault="00322208" w:rsidP="001B3823">
            <w:pPr>
              <w:spacing w:before="240" w:after="240"/>
              <w:rPr>
                <w:rFonts w:cs="Arial"/>
              </w:rPr>
            </w:pPr>
            <w:r w:rsidRPr="00C65A6F">
              <w:rPr>
                <w:rFonts w:cs="Arial"/>
              </w:rPr>
              <w:t>Podpis:</w:t>
            </w:r>
          </w:p>
        </w:tc>
        <w:tc>
          <w:tcPr>
            <w:tcW w:w="4000" w:type="dxa"/>
            <w:tcMar>
              <w:right w:w="851" w:type="dxa"/>
            </w:tcMar>
          </w:tcPr>
          <w:p w:rsidR="00322208" w:rsidRPr="00C65A6F" w:rsidRDefault="00322208" w:rsidP="001B3823">
            <w:pPr>
              <w:spacing w:before="20" w:after="20"/>
              <w:ind w:right="-820"/>
              <w:rPr>
                <w:rFonts w:cs="Arial"/>
              </w:rPr>
            </w:pPr>
          </w:p>
        </w:tc>
      </w:tr>
      <w:tr w:rsidR="00322208" w:rsidRPr="00C65A6F" w:rsidTr="001B3823">
        <w:trPr>
          <w:jc w:val="center"/>
        </w:trPr>
        <w:tc>
          <w:tcPr>
            <w:tcW w:w="4568" w:type="dxa"/>
          </w:tcPr>
          <w:p w:rsidR="00322208" w:rsidRDefault="00322208" w:rsidP="001B3823">
            <w:pPr>
              <w:spacing w:before="20" w:after="20"/>
              <w:jc w:val="both"/>
              <w:rPr>
                <w:rFonts w:cs="Arial"/>
                <w:b/>
                <w:bCs/>
                <w:u w:val="single"/>
              </w:rPr>
            </w:pPr>
          </w:p>
          <w:p w:rsidR="00322208" w:rsidRDefault="00322208" w:rsidP="001B3823">
            <w:pPr>
              <w:spacing w:before="20" w:after="20"/>
              <w:jc w:val="both"/>
              <w:rPr>
                <w:rFonts w:cs="Arial"/>
                <w:b/>
                <w:bCs/>
                <w:u w:val="single"/>
              </w:rPr>
            </w:pPr>
          </w:p>
          <w:p w:rsidR="00322208" w:rsidRDefault="00322208" w:rsidP="001B3823">
            <w:pPr>
              <w:spacing w:before="20" w:after="20"/>
              <w:jc w:val="both"/>
              <w:rPr>
                <w:rFonts w:cs="Arial"/>
                <w:b/>
                <w:bCs/>
                <w:u w:val="single"/>
              </w:rPr>
            </w:pPr>
          </w:p>
          <w:p w:rsidR="00322208" w:rsidRPr="005531A7" w:rsidRDefault="00322208" w:rsidP="001B3823">
            <w:pPr>
              <w:spacing w:before="20" w:after="20"/>
              <w:jc w:val="both"/>
              <w:rPr>
                <w:rFonts w:cs="Arial"/>
              </w:rPr>
            </w:pPr>
            <w:bookmarkStart w:id="0" w:name="_GoBack"/>
            <w:bookmarkEnd w:id="0"/>
            <w:r w:rsidRPr="002877FE">
              <w:rPr>
                <w:rFonts w:cs="Arial"/>
                <w:b/>
                <w:bCs/>
                <w:u w:val="single"/>
              </w:rPr>
              <w:t>Schválil:</w:t>
            </w:r>
            <w:r>
              <w:rPr>
                <w:rFonts w:cs="Arial"/>
                <w:b/>
                <w:bCs/>
              </w:rPr>
              <w:t xml:space="preserve"> doc. RNDr. Gabriel Semanišin, PhD.</w:t>
            </w:r>
          </w:p>
        </w:tc>
        <w:tc>
          <w:tcPr>
            <w:tcW w:w="4000" w:type="dxa"/>
            <w:tcMar>
              <w:right w:w="851" w:type="dxa"/>
            </w:tcMar>
          </w:tcPr>
          <w:p w:rsidR="00322208" w:rsidRPr="00C65A6F" w:rsidRDefault="00322208" w:rsidP="001B3823">
            <w:pPr>
              <w:spacing w:before="20" w:after="20"/>
              <w:ind w:right="-820"/>
              <w:rPr>
                <w:rFonts w:cs="Arial"/>
              </w:rPr>
            </w:pPr>
          </w:p>
        </w:tc>
      </w:tr>
      <w:tr w:rsidR="00322208" w:rsidRPr="00C65A6F" w:rsidTr="001B3823">
        <w:trPr>
          <w:jc w:val="center"/>
        </w:trPr>
        <w:tc>
          <w:tcPr>
            <w:tcW w:w="4568" w:type="dxa"/>
          </w:tcPr>
          <w:p w:rsidR="00322208" w:rsidRPr="00C65A6F" w:rsidRDefault="00322208" w:rsidP="001B3823">
            <w:pPr>
              <w:spacing w:before="60" w:after="60"/>
              <w:rPr>
                <w:rFonts w:cs="Arial"/>
              </w:rPr>
            </w:pPr>
            <w:r w:rsidRPr="00C65A6F">
              <w:rPr>
                <w:rFonts w:cs="Arial"/>
              </w:rPr>
              <w:t>Pozícia zodpovedného pracovníka:</w:t>
            </w:r>
          </w:p>
        </w:tc>
        <w:tc>
          <w:tcPr>
            <w:tcW w:w="4000" w:type="dxa"/>
            <w:tcMar>
              <w:right w:w="851" w:type="dxa"/>
            </w:tcMar>
          </w:tcPr>
          <w:p w:rsidR="00322208" w:rsidRPr="00C65A6F" w:rsidRDefault="00322208" w:rsidP="001B3823">
            <w:pPr>
              <w:spacing w:before="60" w:after="60"/>
              <w:ind w:right="-820"/>
              <w:rPr>
                <w:rFonts w:cs="Arial"/>
              </w:rPr>
            </w:pPr>
            <w:r>
              <w:rPr>
                <w:rFonts w:cs="Arial"/>
              </w:rPr>
              <w:t>Dekan PF UPJŠ</w:t>
            </w:r>
          </w:p>
        </w:tc>
      </w:tr>
      <w:tr w:rsidR="00322208" w:rsidRPr="00C65A6F" w:rsidTr="001B3823">
        <w:trPr>
          <w:jc w:val="center"/>
        </w:trPr>
        <w:tc>
          <w:tcPr>
            <w:tcW w:w="4568" w:type="dxa"/>
          </w:tcPr>
          <w:p w:rsidR="00322208" w:rsidRPr="00C65A6F" w:rsidRDefault="00322208" w:rsidP="001B3823">
            <w:pPr>
              <w:spacing w:before="120" w:after="120"/>
              <w:jc w:val="both"/>
              <w:rPr>
                <w:rFonts w:cs="Arial"/>
              </w:rPr>
            </w:pPr>
            <w:r w:rsidRPr="00C65A6F">
              <w:rPr>
                <w:rFonts w:cs="Arial"/>
              </w:rPr>
              <w:t>Dátum schválenia:</w:t>
            </w:r>
          </w:p>
        </w:tc>
        <w:tc>
          <w:tcPr>
            <w:tcW w:w="4000" w:type="dxa"/>
            <w:tcMar>
              <w:right w:w="851" w:type="dxa"/>
            </w:tcMar>
          </w:tcPr>
          <w:p w:rsidR="00322208" w:rsidRPr="00C65A6F" w:rsidRDefault="00322208" w:rsidP="00322208">
            <w:pPr>
              <w:spacing w:before="120" w:after="120"/>
              <w:ind w:right="-820"/>
              <w:rPr>
                <w:rFonts w:cs="Arial"/>
              </w:rPr>
            </w:pPr>
            <w:r>
              <w:rPr>
                <w:rFonts w:cs="Arial"/>
              </w:rPr>
              <w:t>10</w:t>
            </w:r>
            <w:r>
              <w:rPr>
                <w:rFonts w:cs="Arial"/>
              </w:rPr>
              <w:t>.1</w:t>
            </w:r>
            <w:r>
              <w:rPr>
                <w:rFonts w:cs="Arial"/>
              </w:rPr>
              <w:t>1</w:t>
            </w:r>
            <w:r>
              <w:rPr>
                <w:rFonts w:cs="Arial"/>
              </w:rPr>
              <w:t>.2015</w:t>
            </w:r>
          </w:p>
        </w:tc>
      </w:tr>
      <w:tr w:rsidR="00322208" w:rsidRPr="00C65A6F" w:rsidTr="001B3823">
        <w:trPr>
          <w:jc w:val="center"/>
        </w:trPr>
        <w:tc>
          <w:tcPr>
            <w:tcW w:w="4568" w:type="dxa"/>
          </w:tcPr>
          <w:p w:rsidR="00322208" w:rsidRPr="00C65A6F" w:rsidRDefault="00322208" w:rsidP="001B3823">
            <w:pPr>
              <w:spacing w:before="240" w:after="240"/>
              <w:jc w:val="both"/>
              <w:rPr>
                <w:rFonts w:cs="Arial"/>
              </w:rPr>
            </w:pPr>
            <w:r w:rsidRPr="00C65A6F">
              <w:rPr>
                <w:rFonts w:cs="Arial"/>
              </w:rPr>
              <w:t>Podpis:</w:t>
            </w:r>
          </w:p>
        </w:tc>
        <w:tc>
          <w:tcPr>
            <w:tcW w:w="4000" w:type="dxa"/>
            <w:tcMar>
              <w:right w:w="851" w:type="dxa"/>
            </w:tcMar>
          </w:tcPr>
          <w:p w:rsidR="00322208" w:rsidRPr="00C65A6F" w:rsidRDefault="00322208" w:rsidP="001B3823">
            <w:pPr>
              <w:spacing w:before="240" w:after="240"/>
              <w:ind w:right="-820"/>
              <w:rPr>
                <w:rFonts w:cs="Arial"/>
              </w:rPr>
            </w:pPr>
          </w:p>
        </w:tc>
      </w:tr>
    </w:tbl>
    <w:p w:rsidR="00322208" w:rsidRDefault="00322208" w:rsidP="005F0BD5"/>
    <w:sectPr w:rsidR="00322208" w:rsidSect="0065201F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F74" w:rsidRDefault="007C0F74" w:rsidP="009A7112">
      <w:r>
        <w:separator/>
      </w:r>
    </w:p>
  </w:endnote>
  <w:endnote w:type="continuationSeparator" w:id="0">
    <w:p w:rsidR="007C0F74" w:rsidRDefault="007C0F74" w:rsidP="009A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310748"/>
      <w:docPartObj>
        <w:docPartGallery w:val="Page Numbers (Bottom of Page)"/>
        <w:docPartUnique/>
      </w:docPartObj>
    </w:sdtPr>
    <w:sdtEndPr/>
    <w:sdtContent>
      <w:p w:rsidR="007C0F74" w:rsidRDefault="007C0F7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208">
          <w:rPr>
            <w:noProof/>
          </w:rPr>
          <w:t>14</w:t>
        </w:r>
        <w:r>
          <w:fldChar w:fldCharType="end"/>
        </w:r>
      </w:p>
    </w:sdtContent>
  </w:sdt>
  <w:p w:rsidR="007C0F74" w:rsidRDefault="007C0F7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F74" w:rsidRDefault="007C0F74" w:rsidP="009A7112">
      <w:r>
        <w:separator/>
      </w:r>
    </w:p>
  </w:footnote>
  <w:footnote w:type="continuationSeparator" w:id="0">
    <w:p w:rsidR="007C0F74" w:rsidRDefault="007C0F74" w:rsidP="009A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74" w:rsidRDefault="007C0F74">
    <w:pPr>
      <w:pStyle w:val="Hlavika"/>
    </w:pPr>
    <w:r>
      <w:t>Kód ITMS: 26220220182</w:t>
    </w:r>
  </w:p>
  <w:p w:rsidR="007C0F74" w:rsidRDefault="007C0F74">
    <w:pPr>
      <w:pStyle w:val="Hlavika"/>
    </w:pPr>
  </w:p>
  <w:p w:rsidR="007C0F74" w:rsidRDefault="007C0F74">
    <w:pPr>
      <w:pStyle w:val="Hlavika"/>
    </w:pPr>
  </w:p>
  <w:p w:rsidR="007C0F74" w:rsidRDefault="007C0F7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F3B74"/>
    <w:multiLevelType w:val="hybridMultilevel"/>
    <w:tmpl w:val="EE0AA7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62EAA"/>
    <w:multiLevelType w:val="hybridMultilevel"/>
    <w:tmpl w:val="C28E38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E5C92"/>
    <w:multiLevelType w:val="hybridMultilevel"/>
    <w:tmpl w:val="A2AE75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52F84"/>
    <w:multiLevelType w:val="hybridMultilevel"/>
    <w:tmpl w:val="289082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960C2"/>
    <w:multiLevelType w:val="hybridMultilevel"/>
    <w:tmpl w:val="626C5D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851BC"/>
    <w:multiLevelType w:val="hybridMultilevel"/>
    <w:tmpl w:val="AFE21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F240C"/>
    <w:multiLevelType w:val="hybridMultilevel"/>
    <w:tmpl w:val="D2C45C8C"/>
    <w:lvl w:ilvl="0" w:tplc="86224E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12"/>
    <w:rsid w:val="00010B41"/>
    <w:rsid w:val="000A205A"/>
    <w:rsid w:val="000A79B4"/>
    <w:rsid w:val="000D2725"/>
    <w:rsid w:val="000E0C92"/>
    <w:rsid w:val="000E7542"/>
    <w:rsid w:val="001272BD"/>
    <w:rsid w:val="00147445"/>
    <w:rsid w:val="00176EF5"/>
    <w:rsid w:val="0018056B"/>
    <w:rsid w:val="001846EB"/>
    <w:rsid w:val="001A3961"/>
    <w:rsid w:val="001C42BD"/>
    <w:rsid w:val="00204800"/>
    <w:rsid w:val="00206D7D"/>
    <w:rsid w:val="0023192C"/>
    <w:rsid w:val="00233ED8"/>
    <w:rsid w:val="00242FF9"/>
    <w:rsid w:val="00243618"/>
    <w:rsid w:val="002454AD"/>
    <w:rsid w:val="002877FE"/>
    <w:rsid w:val="002A7B27"/>
    <w:rsid w:val="002F7E3A"/>
    <w:rsid w:val="003142EF"/>
    <w:rsid w:val="00322208"/>
    <w:rsid w:val="003272E8"/>
    <w:rsid w:val="00331EFA"/>
    <w:rsid w:val="00365918"/>
    <w:rsid w:val="00370C82"/>
    <w:rsid w:val="0039448D"/>
    <w:rsid w:val="003D7C31"/>
    <w:rsid w:val="00430090"/>
    <w:rsid w:val="00442CAC"/>
    <w:rsid w:val="0045023A"/>
    <w:rsid w:val="004822D7"/>
    <w:rsid w:val="004B4C86"/>
    <w:rsid w:val="004E4BD7"/>
    <w:rsid w:val="005028DD"/>
    <w:rsid w:val="00516656"/>
    <w:rsid w:val="00554B04"/>
    <w:rsid w:val="00561E56"/>
    <w:rsid w:val="005E4400"/>
    <w:rsid w:val="005F0BD5"/>
    <w:rsid w:val="005F24A5"/>
    <w:rsid w:val="00647E2E"/>
    <w:rsid w:val="0065201F"/>
    <w:rsid w:val="00676831"/>
    <w:rsid w:val="00680FE9"/>
    <w:rsid w:val="00691F51"/>
    <w:rsid w:val="006D6EB3"/>
    <w:rsid w:val="006E4A8E"/>
    <w:rsid w:val="00717D64"/>
    <w:rsid w:val="00735CA1"/>
    <w:rsid w:val="00737453"/>
    <w:rsid w:val="00743E23"/>
    <w:rsid w:val="007454CC"/>
    <w:rsid w:val="00755127"/>
    <w:rsid w:val="00763AA8"/>
    <w:rsid w:val="007760B0"/>
    <w:rsid w:val="007873BB"/>
    <w:rsid w:val="00791216"/>
    <w:rsid w:val="00797159"/>
    <w:rsid w:val="007C0F74"/>
    <w:rsid w:val="007C3AA7"/>
    <w:rsid w:val="007C75FF"/>
    <w:rsid w:val="007F2CB0"/>
    <w:rsid w:val="0080026A"/>
    <w:rsid w:val="00814899"/>
    <w:rsid w:val="00820630"/>
    <w:rsid w:val="008A54FD"/>
    <w:rsid w:val="008D01A9"/>
    <w:rsid w:val="00906ABA"/>
    <w:rsid w:val="00915F13"/>
    <w:rsid w:val="009262DA"/>
    <w:rsid w:val="00947CDD"/>
    <w:rsid w:val="00974BB7"/>
    <w:rsid w:val="00977814"/>
    <w:rsid w:val="009955F9"/>
    <w:rsid w:val="009A7112"/>
    <w:rsid w:val="00A225F0"/>
    <w:rsid w:val="00A31337"/>
    <w:rsid w:val="00A363AC"/>
    <w:rsid w:val="00A54851"/>
    <w:rsid w:val="00A6336F"/>
    <w:rsid w:val="00AB2208"/>
    <w:rsid w:val="00AC67D9"/>
    <w:rsid w:val="00B00827"/>
    <w:rsid w:val="00B43D9E"/>
    <w:rsid w:val="00B53979"/>
    <w:rsid w:val="00BD6D1D"/>
    <w:rsid w:val="00BE60CC"/>
    <w:rsid w:val="00BF7B57"/>
    <w:rsid w:val="00C322BA"/>
    <w:rsid w:val="00C53875"/>
    <w:rsid w:val="00C65A6F"/>
    <w:rsid w:val="00C706AA"/>
    <w:rsid w:val="00C7538A"/>
    <w:rsid w:val="00CC7905"/>
    <w:rsid w:val="00D069D0"/>
    <w:rsid w:val="00D2047B"/>
    <w:rsid w:val="00D62A6B"/>
    <w:rsid w:val="00D70695"/>
    <w:rsid w:val="00D939DF"/>
    <w:rsid w:val="00DB1E9B"/>
    <w:rsid w:val="00DD3B3F"/>
    <w:rsid w:val="00DE13BB"/>
    <w:rsid w:val="00DF7C69"/>
    <w:rsid w:val="00E12A9A"/>
    <w:rsid w:val="00E22E36"/>
    <w:rsid w:val="00E3137C"/>
    <w:rsid w:val="00E3587A"/>
    <w:rsid w:val="00E46773"/>
    <w:rsid w:val="00E54AEF"/>
    <w:rsid w:val="00EA150F"/>
    <w:rsid w:val="00EB1451"/>
    <w:rsid w:val="00EF13F2"/>
    <w:rsid w:val="00F10985"/>
    <w:rsid w:val="00F42BEC"/>
    <w:rsid w:val="00F554C8"/>
    <w:rsid w:val="00F5706A"/>
    <w:rsid w:val="00F62CE5"/>
    <w:rsid w:val="00FA4E26"/>
    <w:rsid w:val="00FB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0BD5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206D7D"/>
    <w:rPr>
      <w:b/>
      <w:bCs/>
      <w:i w:val="0"/>
      <w:iCs w:val="0"/>
    </w:rPr>
  </w:style>
  <w:style w:type="paragraph" w:styleId="Bezriadkovania">
    <w:name w:val="No Spacing"/>
    <w:uiPriority w:val="1"/>
    <w:qFormat/>
    <w:rsid w:val="00206D7D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A71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7112"/>
    <w:rPr>
      <w:rFonts w:ascii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A71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7112"/>
    <w:rPr>
      <w:rFonts w:ascii="Times New Roman" w:hAnsi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1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112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5F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C65A6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C65A6F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semiHidden/>
    <w:rsid w:val="00C65A6F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rsid w:val="00C65A6F"/>
    <w:pPr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65A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ekzoznamu">
    <w:name w:val="List Paragraph"/>
    <w:basedOn w:val="Normlny"/>
    <w:uiPriority w:val="34"/>
    <w:qFormat/>
    <w:rsid w:val="0065201F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7C0F74"/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7C0F7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0BD5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206D7D"/>
    <w:rPr>
      <w:b/>
      <w:bCs/>
      <w:i w:val="0"/>
      <w:iCs w:val="0"/>
    </w:rPr>
  </w:style>
  <w:style w:type="paragraph" w:styleId="Bezriadkovania">
    <w:name w:val="No Spacing"/>
    <w:uiPriority w:val="1"/>
    <w:qFormat/>
    <w:rsid w:val="00206D7D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A71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7112"/>
    <w:rPr>
      <w:rFonts w:ascii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A71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7112"/>
    <w:rPr>
      <w:rFonts w:ascii="Times New Roman" w:hAnsi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1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112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5F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C65A6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C65A6F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semiHidden/>
    <w:rsid w:val="00C65A6F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rsid w:val="00C65A6F"/>
    <w:pPr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65A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ekzoznamu">
    <w:name w:val="List Paragraph"/>
    <w:basedOn w:val="Normlny"/>
    <w:uiPriority w:val="34"/>
    <w:qFormat/>
    <w:rsid w:val="0065201F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7C0F74"/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7C0F7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regional_policy/thefunds/regional/index_sk.cf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nedu.sk/op-vyskum-a&#160;vyvoj-erdf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minedu.sk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Tvar vlnenia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A5B0B-15F8-4E9E-9C9E-93AA3977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14</Pages>
  <Words>2912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Hegedüš Roman</dc:creator>
  <cp:lastModifiedBy>dekanat</cp:lastModifiedBy>
  <cp:revision>18</cp:revision>
  <cp:lastPrinted>2015-03-10T08:47:00Z</cp:lastPrinted>
  <dcterms:created xsi:type="dcterms:W3CDTF">2015-10-27T08:36:00Z</dcterms:created>
  <dcterms:modified xsi:type="dcterms:W3CDTF">2015-11-10T08:05:00Z</dcterms:modified>
</cp:coreProperties>
</file>