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val="en-US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val="en-US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val="en-US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680FE9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906ABA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30.9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>(PhDr. Branislav Bonk)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>(Ing. Marcel Behún,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2.2. Vybavenie objektov UVP na TUKE prístrojovou, IKT a špecializovanou technikou pre potreby VaV</w:t>
            </w:r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680D07">
            <w:pPr>
              <w:jc w:val="both"/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98424B" w:rsidRDefault="0098424B" w:rsidP="00680D07">
            <w:pPr>
              <w:jc w:val="both"/>
            </w:pPr>
            <w:r>
              <w:t xml:space="preserve">V mesiaci </w:t>
            </w:r>
            <w:r w:rsidR="00820125">
              <w:t>september</w:t>
            </w:r>
            <w:r>
              <w:t xml:space="preserve"> </w:t>
            </w:r>
            <w:r w:rsidR="00820125">
              <w:t xml:space="preserve">pokračovali </w:t>
            </w:r>
            <w:r>
              <w:t>práce na oceľovej konštrukcii</w:t>
            </w:r>
            <w:r w:rsidR="00A3560A">
              <w:t xml:space="preserve"> (OK)</w:t>
            </w:r>
            <w:r>
              <w:t xml:space="preserve"> nadstavby</w:t>
            </w:r>
            <w:r w:rsidR="00820125">
              <w:t>. Na základe priebehu prác bol termín ukončenia OK presunutý na polovicu októbra. Prebehla montáž časti podlahových profilov, čím došlo k čiastočnému zabezpečeniu stavby pred zatekaním</w:t>
            </w:r>
            <w:r w:rsidR="00680D07">
              <w:t xml:space="preserve">. Zhotoviteľ bol znova požiadaný o predloženie aktualizovaného </w:t>
            </w:r>
            <w:r>
              <w:t>harmonogram</w:t>
            </w:r>
            <w:r w:rsidR="00680D07">
              <w:t>u</w:t>
            </w:r>
            <w:r>
              <w:t xml:space="preserve"> montážnych prác</w:t>
            </w:r>
            <w:r w:rsidR="00680D07">
              <w:t xml:space="preserve">. Prebehli prípravné práce na </w:t>
            </w:r>
            <w:r>
              <w:t>demontáž vzduchotechnických jednotiek na streche objektu.</w:t>
            </w:r>
          </w:p>
          <w:p w:rsidR="00204800" w:rsidRDefault="00204800" w:rsidP="00680D07">
            <w:pPr>
              <w:jc w:val="both"/>
            </w:pPr>
          </w:p>
          <w:p w:rsidR="00204800" w:rsidRDefault="00204800" w:rsidP="00680D07">
            <w:pPr>
              <w:jc w:val="both"/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98424B">
              <w:rPr>
                <w:u w:val="single"/>
              </w:rPr>
              <w:t xml:space="preserve"> </w:t>
            </w:r>
            <w:r w:rsidR="0098424B">
              <w:t>VO je ukončené.</w:t>
            </w:r>
          </w:p>
          <w:p w:rsidR="00204800" w:rsidRDefault="00204800" w:rsidP="00680D07">
            <w:pPr>
              <w:jc w:val="both"/>
            </w:pPr>
          </w:p>
          <w:p w:rsidR="0098424B" w:rsidRPr="00445BF5" w:rsidRDefault="00204800" w:rsidP="00680D07">
            <w:pPr>
              <w:jc w:val="both"/>
            </w:pPr>
            <w:r w:rsidRPr="00204800">
              <w:rPr>
                <w:u w:val="single"/>
              </w:rPr>
              <w:t>Pokrok v stavebných činnostiach:</w:t>
            </w:r>
            <w:r w:rsidR="0098424B" w:rsidRPr="00445BF5">
              <w:t xml:space="preserve"> Pokračuje realizácia stavebných činností. Presnejší popis je v časti „Vecný pokrok“ vyššie.</w:t>
            </w:r>
          </w:p>
          <w:p w:rsidR="00204800" w:rsidRDefault="00204800" w:rsidP="00680D07">
            <w:pPr>
              <w:jc w:val="both"/>
              <w:rPr>
                <w:u w:val="single"/>
              </w:rPr>
            </w:pPr>
          </w:p>
          <w:p w:rsidR="00204800" w:rsidRPr="00204800" w:rsidRDefault="00204800" w:rsidP="00680D0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98424B" w:rsidRPr="00445BF5">
              <w:t xml:space="preserve"> Nedodržanie harmonogramu prác. Meškanie oproti predloženému harmonogramu. Zhotoviteľ bol požiadaný o prepracovanie aktuálneho</w:t>
            </w:r>
            <w:r w:rsidR="0098424B">
              <w:t xml:space="preserve"> </w:t>
            </w:r>
            <w:r w:rsidR="00680D07">
              <w:t>h</w:t>
            </w:r>
            <w:r w:rsidR="0098424B" w:rsidRPr="00445BF5">
              <w:t>armonogramu s ohľadom na postup prác.</w:t>
            </w:r>
          </w:p>
          <w:p w:rsidR="00204800" w:rsidRDefault="00204800" w:rsidP="00680D07">
            <w:pPr>
              <w:jc w:val="both"/>
            </w:pPr>
          </w:p>
          <w:p w:rsidR="00755127" w:rsidRPr="00A3560A" w:rsidRDefault="00204800" w:rsidP="00680D0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98424B">
              <w:rPr>
                <w:u w:val="single"/>
              </w:rPr>
              <w:t xml:space="preserve"> </w:t>
            </w:r>
            <w:r w:rsidR="0098424B">
              <w:t>Úzka spolupráca medzi z</w:t>
            </w:r>
            <w:r w:rsidR="0098424B" w:rsidRPr="00445BF5">
              <w:t>hotoviteľ</w:t>
            </w:r>
            <w:r w:rsidR="0098424B">
              <w:t>om, stavebným dozorom, projektantom a vedením univerzity.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3243BA" w:rsidRPr="00014D60" w:rsidRDefault="003243BA" w:rsidP="003243BA">
            <w:r>
              <w:t xml:space="preserve">V mesiaci </w:t>
            </w:r>
            <w:r w:rsidR="008C54A4">
              <w:t>september</w:t>
            </w:r>
            <w:r>
              <w:t xml:space="preserve"> boli dodané zariadenia v celkovej hodnote 3</w:t>
            </w:r>
            <w:r w:rsidR="008C54A4">
              <w:t>3</w:t>
            </w:r>
            <w:r>
              <w:t xml:space="preserve"> </w:t>
            </w:r>
            <w:r w:rsidR="008C54A4">
              <w:t>520</w:t>
            </w:r>
            <w:r>
              <w:t xml:space="preserve">,- Eur. Išlo o tieto zariadenia: </w:t>
            </w:r>
            <w:r w:rsidR="008C54A4" w:rsidRPr="008C54A4">
              <w:t>2.1.18.8</w:t>
            </w:r>
            <w:r w:rsidR="008C54A4">
              <w:t xml:space="preserve"> </w:t>
            </w:r>
            <w:r w:rsidR="008C54A4" w:rsidRPr="008C54A4">
              <w:t>Uzavretý videomonitorovací okruh (CCTV)</w:t>
            </w:r>
            <w:r w:rsidR="008C54A4">
              <w:t xml:space="preserve">, </w:t>
            </w:r>
            <w:r w:rsidR="008C54A4" w:rsidRPr="008C54A4">
              <w:t>2.1.18.41</w:t>
            </w:r>
            <w:r w:rsidR="008C54A4">
              <w:t xml:space="preserve"> </w:t>
            </w:r>
            <w:r w:rsidR="008C54A4" w:rsidRPr="008C54A4">
              <w:t>Modernizácia a rozšírenie elektrickej zabezpečovacej signalizácie a prístupového systému A - kamerový subsystém</w:t>
            </w:r>
            <w:r w:rsidR="008C54A4">
              <w:t xml:space="preserve">, </w:t>
            </w:r>
            <w:r w:rsidR="008C54A4" w:rsidRPr="008C54A4">
              <w:t>2.1.18.31</w:t>
            </w:r>
            <w:r w:rsidR="008C54A4">
              <w:t xml:space="preserve"> </w:t>
            </w:r>
            <w:r w:rsidR="008C54A4" w:rsidRPr="008C54A4">
              <w:t>Audiometer</w:t>
            </w:r>
            <w:r w:rsidR="008C54A4">
              <w:t xml:space="preserve"> a 2.1.18.34 </w:t>
            </w:r>
            <w:r w:rsidR="008C54A4" w:rsidRPr="008C54A4">
              <w:t>Akustický simulátor hlavy a</w:t>
            </w:r>
            <w:r w:rsidR="008C54A4">
              <w:t> </w:t>
            </w:r>
            <w:r w:rsidR="008C54A4" w:rsidRPr="008C54A4">
              <w:t>torza</w:t>
            </w:r>
            <w:r w:rsidR="008C54A4">
              <w:t>.</w:t>
            </w:r>
          </w:p>
          <w:p w:rsidR="003243BA" w:rsidRDefault="003243BA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3243BA">
              <w:t xml:space="preserve"> VO je ukončené.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  <w:r w:rsidR="003243BA">
              <w:t xml:space="preserve"> D</w:t>
            </w:r>
            <w:r w:rsidR="003243BA" w:rsidRPr="00211077">
              <w:t xml:space="preserve">odané zariadenia v celkovej hodnote </w:t>
            </w:r>
            <w:r w:rsidR="003243BA">
              <w:t>3</w:t>
            </w:r>
            <w:r w:rsidR="008C54A4">
              <w:t>3</w:t>
            </w:r>
            <w:r w:rsidR="003243BA" w:rsidRPr="00211077">
              <w:t xml:space="preserve"> </w:t>
            </w:r>
            <w:r w:rsidR="008C54A4">
              <w:t>520</w:t>
            </w:r>
            <w:r w:rsidR="003243BA" w:rsidRPr="00211077">
              <w:t>,- €.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3243BA" w:rsidRPr="00211077" w:rsidRDefault="00204800" w:rsidP="003243BA"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3243BA" w:rsidRPr="00211077">
              <w:t xml:space="preserve"> Umiestnenie centrálneho výpočtového uzla je plánované do serverovne v  časti budovy kde je plánovaná rekonštrukcia v rámci projektu. Je možné že budeme musieť hľadať alternatívne umiestnenie ak by stavebné práce nepokračovali podľa harmonogramu.</w:t>
            </w:r>
          </w:p>
          <w:p w:rsidR="00204800" w:rsidRDefault="00204800" w:rsidP="005F0BD5"/>
          <w:p w:rsidR="00EA150F" w:rsidRDefault="00204800" w:rsidP="003243BA"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3243BA">
              <w:rPr>
                <w:u w:val="single"/>
              </w:rPr>
              <w:t xml:space="preserve"> </w:t>
            </w:r>
            <w:r w:rsidR="003243BA" w:rsidRPr="00211077">
              <w:t>Aktivita nie je v omeškaní.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 xml:space="preserve">Aktivita 2.5 Výstavba nových výskumných priestorov partnera 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>(doc. Ing. Peter Adamišin,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 xml:space="preserve">k je realizácia aktivít v omeškaní, je potrebné uviesť dôvody omeškania a aké boli </w:t>
            </w:r>
            <w:r w:rsidRPr="00204800">
              <w:rPr>
                <w:u w:val="single"/>
              </w:rPr>
              <w:lastRenderedPageBreak/>
              <w:t>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>(doc. Ing. Peter Adamišin,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>(prof. Ing. AlenaPietriková,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3.3 Pilotné projekty v odbore Strojárstvo</w:t>
            </w:r>
          </w:p>
          <w:p w:rsidR="00E12A9A" w:rsidRDefault="00E12A9A" w:rsidP="005F0BD5">
            <w:r w:rsidRPr="00E12A9A">
              <w:t>(Dr.h.c.prof.Ing.Miroslav Badida)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3.4 Pilotné projekty v odbore Stavebné inžinierstvo</w:t>
            </w:r>
          </w:p>
          <w:p w:rsidR="00E12A9A" w:rsidRDefault="00E12A9A" w:rsidP="005F0BD5">
            <w:r w:rsidRPr="00E12A9A">
              <w:lastRenderedPageBreak/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lastRenderedPageBreak/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>(doc. Ing.  Ján Spišák,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B95C2B" w:rsidRDefault="00B95C2B" w:rsidP="00C96A5B">
            <w:pPr>
              <w:jc w:val="both"/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B95C2B" w:rsidRDefault="00B95C2B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Vnútorná kontrola výsledkov aktivity a príprava na prerušenie projektu.</w:t>
            </w:r>
          </w:p>
          <w:p w:rsidR="00B95C2B" w:rsidRDefault="00B95C2B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Účasť na konferencií  Technicom 3.</w:t>
            </w:r>
          </w:p>
          <w:p w:rsidR="00B95C2B" w:rsidRDefault="00B95C2B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Príprava zmluvy s NIIF Budapešť.</w:t>
            </w:r>
          </w:p>
          <w:p w:rsidR="00B95C2B" w:rsidRPr="001F670E" w:rsidRDefault="00B95C2B" w:rsidP="00C96A5B">
            <w:pPr>
              <w:pStyle w:val="ListParagraph"/>
              <w:jc w:val="both"/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5F67B3" w:rsidRDefault="005F67B3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Pridanie novej funkcionality – vytváranie a editácia ViewMe/SeeVogh mítingov priamo v koncovej klientskej aplikácii. </w:t>
            </w:r>
          </w:p>
          <w:p w:rsidR="005F67B3" w:rsidRDefault="005F67B3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Pokračovanie vo vývoji prehrávača štandardných A/V formátov.</w:t>
            </w:r>
          </w:p>
          <w:p w:rsidR="005F67B3" w:rsidRDefault="005F67B3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Oprava chýb narastania pamäte na Windows systémoch a testovanie hardvéru pre pilotnú videokonferenčnú miestnosť. </w:t>
            </w:r>
          </w:p>
          <w:p w:rsidR="00B95C2B" w:rsidRPr="005D3E73" w:rsidRDefault="00B95C2B" w:rsidP="00C96A5B">
            <w:pPr>
              <w:pStyle w:val="ListParagraph"/>
              <w:jc w:val="both"/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3. Výskum v oblasti inovatívnych interakcií človek-počítač:</w:t>
            </w:r>
          </w:p>
          <w:p w:rsidR="00654938" w:rsidRDefault="00FC755B" w:rsidP="00C96A5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Pr</w:t>
            </w:r>
            <w:r w:rsidR="00654938">
              <w:t>íprava</w:t>
            </w:r>
            <w:r>
              <w:t xml:space="preserve"> </w:t>
            </w:r>
            <w:r w:rsidR="00654938">
              <w:t xml:space="preserve">vedeckých </w:t>
            </w:r>
            <w:r>
              <w:t>článko</w:t>
            </w:r>
            <w:r w:rsidR="00654938">
              <w:t>v</w:t>
            </w:r>
            <w:r>
              <w:t xml:space="preserve"> a</w:t>
            </w:r>
            <w:r w:rsidR="00654938">
              <w:t> </w:t>
            </w:r>
            <w:r>
              <w:t>pokračova</w:t>
            </w:r>
            <w:r w:rsidR="00654938">
              <w:t xml:space="preserve">nie </w:t>
            </w:r>
            <w:r>
              <w:t>v EEG výskume.</w:t>
            </w:r>
          </w:p>
          <w:p w:rsidR="00654938" w:rsidRDefault="00FC755B" w:rsidP="00C96A5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Rieš</w:t>
            </w:r>
            <w:r w:rsidR="00654938">
              <w:t xml:space="preserve">enie </w:t>
            </w:r>
            <w:r>
              <w:t>organizačn</w:t>
            </w:r>
            <w:r w:rsidR="00654938">
              <w:t>ých</w:t>
            </w:r>
            <w:r>
              <w:t xml:space="preserve"> záležitosti súvisiac</w:t>
            </w:r>
            <w:r w:rsidR="00654938">
              <w:t>ich</w:t>
            </w:r>
            <w:r>
              <w:t xml:space="preserve"> s novým laboratóriom (plánovanie dodania zvukotesnej miestnosti, umiestnenie nových zariadení). </w:t>
            </w:r>
          </w:p>
          <w:p w:rsidR="00B95C2B" w:rsidRDefault="00654938" w:rsidP="00C96A5B">
            <w:pPr>
              <w:pStyle w:val="ListParagraph"/>
              <w:numPr>
                <w:ilvl w:val="0"/>
                <w:numId w:val="10"/>
              </w:numPr>
              <w:jc w:val="both"/>
            </w:pPr>
            <w:r>
              <w:t>Príprava ďalšieho grantu</w:t>
            </w:r>
            <w:r w:rsidR="00FC755B">
              <w:t xml:space="preserve"> v rámci Marie Curie programu a v spolupráci s Boston University a</w:t>
            </w:r>
            <w:r>
              <w:t xml:space="preserve"> Massachusetts General Hospital – </w:t>
            </w:r>
            <w:r w:rsidR="00B475A3">
              <w:t xml:space="preserve">práca na </w:t>
            </w:r>
            <w:r>
              <w:t>zabezpečen</w:t>
            </w:r>
            <w:r w:rsidR="00B475A3">
              <w:t xml:space="preserve">í </w:t>
            </w:r>
            <w:r>
              <w:t>udržateľnosti</w:t>
            </w:r>
          </w:p>
          <w:p w:rsidR="00B95C2B" w:rsidRPr="004B1D66" w:rsidRDefault="00B95C2B" w:rsidP="00C96A5B">
            <w:pPr>
              <w:jc w:val="both"/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732F1E" w:rsidRDefault="007434D9" w:rsidP="00C96A5B">
            <w:pPr>
              <w:pStyle w:val="PlainText"/>
              <w:numPr>
                <w:ilvl w:val="0"/>
                <w:numId w:val="11"/>
              </w:numPr>
              <w:jc w:val="both"/>
            </w:pPr>
            <w:r>
              <w:t>Úprav</w:t>
            </w:r>
            <w:r w:rsidR="00732F1E">
              <w:t>a</w:t>
            </w:r>
            <w:r>
              <w:t xml:space="preserve"> automatického buildovania projektu</w:t>
            </w:r>
            <w:r w:rsidR="00732F1E">
              <w:t xml:space="preserve"> – zvýšená </w:t>
            </w:r>
            <w:r>
              <w:t>ochran</w:t>
            </w:r>
            <w:r w:rsidR="00732F1E">
              <w:t>a</w:t>
            </w:r>
            <w:r>
              <w:t xml:space="preserve"> citlivých údajov.</w:t>
            </w:r>
          </w:p>
          <w:p w:rsidR="00732F1E" w:rsidRDefault="00732F1E" w:rsidP="00C96A5B">
            <w:pPr>
              <w:pStyle w:val="PlainText"/>
              <w:numPr>
                <w:ilvl w:val="0"/>
                <w:numId w:val="11"/>
              </w:numPr>
              <w:jc w:val="both"/>
            </w:pPr>
            <w:r>
              <w:t>R</w:t>
            </w:r>
            <w:r w:rsidR="007434D9">
              <w:t>ozš</w:t>
            </w:r>
            <w:r>
              <w:t xml:space="preserve">írenie </w:t>
            </w:r>
            <w:r w:rsidR="007434D9">
              <w:t xml:space="preserve">logovaných údajov </w:t>
            </w:r>
            <w:r>
              <w:t>a</w:t>
            </w:r>
            <w:r w:rsidR="007434D9">
              <w:t xml:space="preserve"> zlepšenie monitorovania používania aplikácií AiS2</w:t>
            </w:r>
          </w:p>
          <w:p w:rsidR="00732F1E" w:rsidRDefault="007434D9" w:rsidP="00C96A5B">
            <w:pPr>
              <w:pStyle w:val="PlainText"/>
              <w:numPr>
                <w:ilvl w:val="0"/>
                <w:numId w:val="11"/>
              </w:numPr>
              <w:jc w:val="both"/>
            </w:pPr>
            <w:r>
              <w:t>Rozšírenie monitorovania pre databázový server o identifikátor databázových dopytov.</w:t>
            </w:r>
          </w:p>
          <w:p w:rsidR="00732F1E" w:rsidRDefault="007434D9" w:rsidP="00C96A5B">
            <w:pPr>
              <w:pStyle w:val="PlainText"/>
              <w:numPr>
                <w:ilvl w:val="0"/>
                <w:numId w:val="11"/>
              </w:numPr>
              <w:jc w:val="both"/>
            </w:pPr>
            <w:r>
              <w:t>Dopln</w:t>
            </w:r>
            <w:r w:rsidR="00732F1E">
              <w:t xml:space="preserve">enie </w:t>
            </w:r>
            <w:r>
              <w:t>prezerac</w:t>
            </w:r>
            <w:r w:rsidR="00732F1E">
              <w:t>ieho</w:t>
            </w:r>
            <w:r>
              <w:t xml:space="preserve"> mód</w:t>
            </w:r>
            <w:r w:rsidR="00732F1E">
              <w:t>u</w:t>
            </w:r>
            <w:r>
              <w:t xml:space="preserve"> administrátora systému za ľubovoľného používateľa.</w:t>
            </w:r>
          </w:p>
          <w:p w:rsidR="00732F1E" w:rsidRDefault="007434D9" w:rsidP="00C96A5B">
            <w:pPr>
              <w:pStyle w:val="PlainText"/>
              <w:numPr>
                <w:ilvl w:val="0"/>
                <w:numId w:val="11"/>
              </w:numPr>
              <w:jc w:val="both"/>
            </w:pPr>
            <w:r>
              <w:lastRenderedPageBreak/>
              <w:t>Inštal</w:t>
            </w:r>
            <w:r w:rsidR="00732F1E">
              <w:t xml:space="preserve">ácia </w:t>
            </w:r>
            <w:r>
              <w:t>pomocný</w:t>
            </w:r>
            <w:r w:rsidR="00732F1E">
              <w:t>ch</w:t>
            </w:r>
            <w:r>
              <w:t xml:space="preserve"> nástroj</w:t>
            </w:r>
            <w:r w:rsidR="00732F1E">
              <w:t>ov</w:t>
            </w:r>
            <w:r>
              <w:t xml:space="preserve"> (Apache Spark a Apache Flink)</w:t>
            </w:r>
            <w:r w:rsidR="00732F1E">
              <w:t xml:space="preserve"> na analýzu </w:t>
            </w:r>
            <w:r>
              <w:t>zodpovedajúc</w:t>
            </w:r>
            <w:r w:rsidR="00732F1E">
              <w:t xml:space="preserve">eho </w:t>
            </w:r>
            <w:r>
              <w:t>objem</w:t>
            </w:r>
            <w:r w:rsidR="00732F1E">
              <w:t>u</w:t>
            </w:r>
            <w:r>
              <w:t xml:space="preserve"> údajov.</w:t>
            </w:r>
          </w:p>
          <w:p w:rsidR="007434D9" w:rsidRDefault="00732F1E" w:rsidP="00C96A5B">
            <w:pPr>
              <w:pStyle w:val="PlainText"/>
              <w:numPr>
                <w:ilvl w:val="0"/>
                <w:numId w:val="11"/>
              </w:numPr>
              <w:jc w:val="both"/>
            </w:pPr>
            <w:r>
              <w:t>D</w:t>
            </w:r>
            <w:r w:rsidR="007434D9">
              <w:t>olovanie znalostí z logovaných údajov) a overova</w:t>
            </w:r>
            <w:r>
              <w:t>nie</w:t>
            </w:r>
            <w:r w:rsidR="007434D9">
              <w:t xml:space="preserve"> ich konzistentnosť v odporúčaniach.</w:t>
            </w:r>
          </w:p>
          <w:p w:rsidR="00B95C2B" w:rsidRPr="000412DC" w:rsidRDefault="00B95C2B" w:rsidP="00C96A5B">
            <w:pPr>
              <w:jc w:val="both"/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322E42" w:rsidRDefault="00322E42" w:rsidP="00C96A5B">
            <w:pPr>
              <w:pStyle w:val="PlainText"/>
              <w:numPr>
                <w:ilvl w:val="0"/>
                <w:numId w:val="8"/>
              </w:numPr>
              <w:jc w:val="both"/>
            </w:pPr>
            <w:r>
              <w:t>Návrh, implementácia a testovanie aktualizácie obsahu fulltextového indexu po automatickom extrahovaní a unifikácii dát a rozšírenie príslušnej časti administrátorského rozhrania pre čiastkový výstup "Metakatalóg produktov internetových obchodov".</w:t>
            </w:r>
          </w:p>
          <w:p w:rsidR="00322E42" w:rsidRDefault="00322E42" w:rsidP="00C96A5B">
            <w:pPr>
              <w:pStyle w:val="PlainText"/>
              <w:numPr>
                <w:ilvl w:val="0"/>
                <w:numId w:val="8"/>
              </w:numPr>
              <w:jc w:val="both"/>
            </w:pPr>
            <w:r>
              <w:t>Návrh a implementácia metód na extrakciu obrázkov zo získaných dát z webových sídiel pre čiastkový výstup "Metakatalóg produktov internetových obchodov".</w:t>
            </w:r>
          </w:p>
          <w:p w:rsidR="00322E42" w:rsidRDefault="00322E42" w:rsidP="00C96A5B">
            <w:pPr>
              <w:pStyle w:val="PlainText"/>
              <w:numPr>
                <w:ilvl w:val="0"/>
                <w:numId w:val="8"/>
              </w:numPr>
              <w:jc w:val="both"/>
            </w:pPr>
            <w:r>
              <w:t>Testovanie plánovača podujatí v turisticko-informačnej aplikácii Everest</w:t>
            </w:r>
          </w:p>
          <w:p w:rsidR="00B95C2B" w:rsidRPr="00A84020" w:rsidRDefault="00B95C2B" w:rsidP="00C96A5B">
            <w:pPr>
              <w:jc w:val="both"/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6. Výskum a vývoj metód geoprocessingu v geopriestorových technológiách a službách:</w:t>
            </w:r>
          </w:p>
          <w:p w:rsidR="00B95C2B" w:rsidRPr="004158DD" w:rsidRDefault="00B95C2B" w:rsidP="00C96A5B">
            <w:pPr>
              <w:pStyle w:val="ListParagraph"/>
              <w:numPr>
                <w:ilvl w:val="0"/>
                <w:numId w:val="8"/>
              </w:numPr>
              <w:jc w:val="both"/>
            </w:pPr>
            <w:r w:rsidRPr="004158DD">
              <w:t>V</w:t>
            </w:r>
            <w:r w:rsidR="00322E42">
              <w:t xml:space="preserve"> sledovanom </w:t>
            </w:r>
            <w:r w:rsidRPr="004158DD">
              <w:t>období neboli vykázané žiadne odpracované hodiny riešiteľov a teda sa nerealizovali žiadne práce na aktivite.</w:t>
            </w:r>
          </w:p>
          <w:p w:rsidR="00204800" w:rsidRDefault="00204800" w:rsidP="00C96A5B">
            <w:pPr>
              <w:jc w:val="both"/>
            </w:pPr>
          </w:p>
          <w:p w:rsidR="0018056B" w:rsidRDefault="0018056B" w:rsidP="00C96A5B">
            <w:pPr>
              <w:jc w:val="both"/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B95C2B" w:rsidRDefault="00B95C2B" w:rsidP="00C96A5B">
            <w:pPr>
              <w:jc w:val="both"/>
              <w:rPr>
                <w:b/>
              </w:rPr>
            </w:pPr>
            <w:r w:rsidRPr="0077631A">
              <w:rPr>
                <w:b/>
              </w:rPr>
              <w:t>PP 1. Aplikovaný výskum v oblasti paralelného a distribuovaného počítania:</w:t>
            </w:r>
          </w:p>
          <w:p w:rsidR="00B95C2B" w:rsidRPr="001F670E" w:rsidRDefault="00B95C2B" w:rsidP="00C96A5B">
            <w:pPr>
              <w:jc w:val="both"/>
            </w:pPr>
            <w:r w:rsidRPr="00B95C2B">
              <w:t>Vnútorná kontrola výsledkov projektu a príprava na prerušenie projektu.</w:t>
            </w:r>
          </w:p>
          <w:p w:rsidR="00B95C2B" w:rsidRDefault="00B95C2B" w:rsidP="00C96A5B">
            <w:pPr>
              <w:jc w:val="both"/>
              <w:rPr>
                <w:b/>
              </w:rPr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2. Vývoj nástrojov a metód pre virtuálnu kolaboráciu:</w:t>
            </w:r>
          </w:p>
          <w:p w:rsidR="005F67B3" w:rsidRDefault="005F67B3" w:rsidP="00C96A5B">
            <w:pPr>
              <w:jc w:val="both"/>
            </w:pPr>
            <w:r>
              <w:t>V rámci spolupráce na vývoji systému SeeVogh/ViewMe sme saa podieľali na vývoji novej funkcie vytvárania a editácie nových aj už existujúcich mítingov priamo v koncovej klientskej aplikácii ViewMe/SeeVogh. Ďalej pokračujeme vo vývoji univerzálneho prehrávača štandardných A/V formátov do prebiehajúceho mítingu.</w:t>
            </w:r>
          </w:p>
          <w:p w:rsidR="00B95C2B" w:rsidRDefault="005F67B3" w:rsidP="00C96A5B">
            <w:pPr>
              <w:jc w:val="both"/>
            </w:pPr>
            <w:r>
              <w:t>Opravili sme chyby narastania pamäte na klientskych PC s operačným systémom Windows 8, 8.1 a integrovanou grafickou kartou INTEL, ako aj navrhli riešenie pre nastavenie NVIDIA grafickej karty v PC zostavách s dvomi grafickými kartami INTEL +NVIDIA.</w:t>
            </w:r>
          </w:p>
          <w:p w:rsidR="005F67B3" w:rsidRPr="005D3E73" w:rsidRDefault="005F67B3" w:rsidP="00C96A5B">
            <w:pPr>
              <w:jc w:val="both"/>
            </w:pPr>
          </w:p>
          <w:p w:rsidR="00B95C2B" w:rsidRP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3. Výskum v oblasti inovatívnych interakcií človek-počítač:</w:t>
            </w:r>
          </w:p>
          <w:p w:rsidR="00654938" w:rsidRDefault="00654938" w:rsidP="00C96A5B">
            <w:pPr>
              <w:jc w:val="both"/>
            </w:pPr>
            <w:r>
              <w:t>Pracovali sme na článkoch o sluchovom vnímaní vzdialenosti a o kontextuálnej plasticite v priestorovom sluchovom vnímaní. Pokračovali sme v príprave EEG experimentu. Pracovali sme na článkoch a pokračovali v EEG výskume. Riešili sme organizačné záležitosti súvisiace s novým laboratóriom (plánovanie dodania zvukotesnej miestnosti, umiestnenie nových zariadení). Taktiež boli realizované práce súvisiace so začatím nového grantu (grant v rámci Marie Curie programu a v spolupráci s Boston University a Massachusetts General Hospital)</w:t>
            </w:r>
          </w:p>
          <w:p w:rsidR="00654938" w:rsidRDefault="00654938" w:rsidP="00C96A5B">
            <w:pPr>
              <w:jc w:val="both"/>
              <w:rPr>
                <w:u w:val="single"/>
              </w:rPr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4. Vývoj informačných systémov pre podporu riadenia vzdelávania, vedy a výskumu:</w:t>
            </w:r>
          </w:p>
          <w:p w:rsidR="007434D9" w:rsidRDefault="007434D9" w:rsidP="00C96A5B">
            <w:pPr>
              <w:pStyle w:val="PlainText"/>
              <w:jc w:val="both"/>
            </w:pPr>
            <w:r>
              <w:t>Úpravy automatického buildovania projektu kvôli ochrane citlivých údajov.</w:t>
            </w:r>
          </w:p>
          <w:p w:rsidR="007434D9" w:rsidRDefault="007434D9" w:rsidP="00C96A5B">
            <w:pPr>
              <w:pStyle w:val="PlainText"/>
              <w:jc w:val="both"/>
            </w:pPr>
            <w:r>
              <w:t xml:space="preserve">Prebehla ďalšia vlna rozširovania logovaných údajov na zlepšenie monitorovania používania aplikácií AiS2(údaje o problémoch s prihlásením, o využívaní dialógov). Rozšírenie monitorovania pre databázový server o identifikátor databázových dopytov. Doplnili sme prezerací mód administrátora systému za ľubovoľného </w:t>
            </w:r>
            <w:r>
              <w:lastRenderedPageBreak/>
              <w:t>používateľa pre zlepšenie podpory používateľov. Konzultovali sme navrhované zmeny v procesoch v rámci činností vyučujúceho na inštitúcii s odlišným zameraním ako je naša univerzita Inštalovali sme a oboznamovali sa s pomocnými nástrojmi (Apache Spark a Apache Flink), ktoré mi umožnia analyzovať zodpovedajúci objem údajov, tak aby bolo možné vytvárať predpovedné modely pre používateľov (odporúčania študijných programov v rámci prijímacieho konania resp. dolovanie znalostí z logovaných údajov) a overovať si ich konzistentnosť v odporúčaniach.</w:t>
            </w:r>
          </w:p>
          <w:p w:rsidR="00B95C2B" w:rsidRPr="000412DC" w:rsidRDefault="00B95C2B" w:rsidP="00C96A5B">
            <w:pPr>
              <w:jc w:val="both"/>
            </w:pPr>
          </w:p>
          <w:p w:rsidR="00B95C2B" w:rsidRDefault="00B95C2B" w:rsidP="00C96A5B">
            <w:pPr>
              <w:jc w:val="both"/>
              <w:rPr>
                <w:b/>
              </w:rPr>
            </w:pPr>
            <w:r w:rsidRPr="00EA760B">
              <w:rPr>
                <w:b/>
              </w:rPr>
              <w:t>PP 5. Výskum v oblasti reprezentácie a analýzy dát:</w:t>
            </w:r>
          </w:p>
          <w:p w:rsidR="00322E42" w:rsidRDefault="00322E42" w:rsidP="00C96A5B">
            <w:pPr>
              <w:pStyle w:val="PlainText"/>
              <w:jc w:val="both"/>
            </w:pPr>
            <w:r>
              <w:t>V čiastkovom výstupe "Metakatalóg produktov internetových obchodov" sme navrhli implementovali a otestovali aktualizáciu obsahu fulltextového indexu po automatickom extrahovaní a unifikácii dát a rozšírili príslušné časti administrátorského rozhrania. Tiež sme navrhi a implementovali metódy na extrakciu obrázkov zo získaných dát z webových sídiel.</w:t>
            </w:r>
            <w:r w:rsidR="00031E4D">
              <w:t xml:space="preserve"> </w:t>
            </w:r>
            <w:r>
              <w:t>V turisticko-informačnej aplikácii Everest sme testovali navrhnutý plánovač podujatí. Za účelom jeho rozšírenia o odporúčanie podujatí sme študovali niekoľko recommender systémov pre Location-Based Social Networks a Event-Based Social Networks.</w:t>
            </w:r>
          </w:p>
          <w:p w:rsidR="00B95C2B" w:rsidRPr="00A84020" w:rsidRDefault="00B95C2B" w:rsidP="00C96A5B">
            <w:pPr>
              <w:jc w:val="both"/>
            </w:pPr>
          </w:p>
          <w:p w:rsidR="009262DA" w:rsidRDefault="00B95C2B" w:rsidP="00C96A5B">
            <w:pPr>
              <w:jc w:val="both"/>
              <w:rPr>
                <w:u w:val="single"/>
              </w:rPr>
            </w:pPr>
            <w:r w:rsidRPr="00EA760B">
              <w:rPr>
                <w:b/>
              </w:rPr>
              <w:t>PP 6. Výskum a vývoj metód geoprocessingu v geopriestorových technológiách a službách:</w:t>
            </w:r>
          </w:p>
          <w:p w:rsidR="00322E42" w:rsidRPr="004158DD" w:rsidRDefault="00322E42" w:rsidP="00C96A5B">
            <w:pPr>
              <w:jc w:val="both"/>
            </w:pPr>
            <w:r w:rsidRPr="004158DD">
              <w:t>V</w:t>
            </w:r>
            <w:r>
              <w:t xml:space="preserve"> sledovanom </w:t>
            </w:r>
            <w:r w:rsidRPr="004158DD">
              <w:t>období neboli vykázané žiadne odpracované hodiny riešiteľov a teda sa nerealizovali žiadne práce na aktivite.</w:t>
            </w:r>
          </w:p>
          <w:p w:rsidR="00B95C2B" w:rsidRDefault="00B95C2B" w:rsidP="00C96A5B">
            <w:pPr>
              <w:jc w:val="both"/>
              <w:rPr>
                <w:u w:val="single"/>
              </w:rPr>
            </w:pPr>
          </w:p>
          <w:p w:rsidR="00204800" w:rsidRPr="00204800" w:rsidRDefault="00204800" w:rsidP="00C96A5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B03BE7" w:rsidRDefault="00C53CF7" w:rsidP="00C96A5B">
            <w:pPr>
              <w:jc w:val="both"/>
            </w:pPr>
            <w:r w:rsidRPr="00DC56E8">
              <w:t>Dosiahnuté výsledky jednotlivých PP sú popísané vyššie v častiach „Vecný pokrok v realizácii aktivity podľa PP“ a „Stručný popis pokroku vo výskumných činnostiach podľa PP“. Okrem vyššie spomenutého prebehl</w:t>
            </w:r>
            <w:r w:rsidR="00C96A5B">
              <w:t>a</w:t>
            </w:r>
            <w:r w:rsidRPr="00DC56E8">
              <w:t xml:space="preserve"> v rámci PP1 </w:t>
            </w:r>
            <w:r w:rsidR="00B03BE7">
              <w:t>kontrol</w:t>
            </w:r>
            <w:r w:rsidR="00C96A5B">
              <w:t>a</w:t>
            </w:r>
            <w:r w:rsidR="00B03BE7">
              <w:t xml:space="preserve"> stav</w:t>
            </w:r>
            <w:r w:rsidR="00C96A5B">
              <w:t>u</w:t>
            </w:r>
            <w:r w:rsidR="00B03BE7">
              <w:t xml:space="preserve"> výsledkov projektu a</w:t>
            </w:r>
            <w:r w:rsidR="00C96A5B">
              <w:t> </w:t>
            </w:r>
            <w:r w:rsidR="00B03BE7">
              <w:t>pr</w:t>
            </w:r>
            <w:r w:rsidR="00C96A5B">
              <w:t xml:space="preserve">íprava </w:t>
            </w:r>
            <w:r w:rsidR="00B03BE7">
              <w:t>na prerušenie poskytovaných služieb.</w:t>
            </w:r>
          </w:p>
          <w:p w:rsidR="00204800" w:rsidRDefault="00204800" w:rsidP="00C96A5B">
            <w:pPr>
              <w:jc w:val="both"/>
            </w:pPr>
          </w:p>
          <w:p w:rsidR="00204800" w:rsidRPr="00204800" w:rsidRDefault="00204800" w:rsidP="00C96A5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17CED" w:rsidRPr="00987527" w:rsidRDefault="00031E4D" w:rsidP="00C96A5B">
            <w:pPr>
              <w:jc w:val="both"/>
              <w:rPr>
                <w:u w:val="single"/>
              </w:rPr>
            </w:pPr>
            <w:r>
              <w:t xml:space="preserve">Krátky </w:t>
            </w:r>
            <w:r w:rsidR="005F67B3">
              <w:t>časový priestor na inštaláciu softvérových riešení na novom kl</w:t>
            </w:r>
            <w:r>
              <w:t>a</w:t>
            </w:r>
            <w:r w:rsidR="005F67B3">
              <w:t>stri. Prerušenie činnosti poskytovanej služby a to konkrétne  medzinárodne c</w:t>
            </w:r>
            <w:r>
              <w:t xml:space="preserve">ertifikovaného výpočtového uzla. </w:t>
            </w:r>
            <w:r w:rsidR="00217CED">
              <w:t>Oneskorenie realizácie stavby spomaľuje zber nových dát. Ako riešenie sa zameriavame na analýzu a modelovanie predtým nazbieraných dát.</w:t>
            </w:r>
          </w:p>
          <w:p w:rsidR="005F67B3" w:rsidRDefault="005F67B3" w:rsidP="00C96A5B">
            <w:pPr>
              <w:jc w:val="both"/>
            </w:pPr>
          </w:p>
          <w:p w:rsidR="00204800" w:rsidRDefault="00204800" w:rsidP="00C96A5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C96A5B" w:rsidRPr="00204800" w:rsidRDefault="00C96A5B" w:rsidP="00C96A5B">
            <w:pPr>
              <w:jc w:val="both"/>
              <w:rPr>
                <w:u w:val="single"/>
              </w:rPr>
            </w:pPr>
            <w:r w:rsidRPr="004422F3">
              <w:t>Realizácia projektovej aktivity je v súlade s upraveným plánom.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>(prof. RNDr. Marián Reiffers,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lastRenderedPageBreak/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EA150F" w:rsidRDefault="004074EC" w:rsidP="004074EC">
            <w:r w:rsidRPr="002E7712">
              <w:t xml:space="preserve">V mesiaci </w:t>
            </w:r>
            <w:r>
              <w:t xml:space="preserve">september </w:t>
            </w:r>
            <w:r w:rsidRPr="002E7712">
              <w:t>prebiehali štandardné práce spojené s riadením projektu. V úzkej spolupráci so stavebným dozorom, projektantom a dodávateľom stavebných prác boli riešené otázky týkajúce sa realizácie stavby.</w:t>
            </w:r>
            <w:r>
              <w:t xml:space="preserve"> </w:t>
            </w:r>
            <w:r w:rsidRPr="002E7712">
              <w:t xml:space="preserve">Vzhľadom na ďalšiu dodávku IKT zariadení prebiehali činnosti spojené s ich evidenciou, poistením a rozdelením medzi výskumníkov. Zároveň prebiehala komunikácia do vnútra univerzity s cieľom zabezpečiť </w:t>
            </w:r>
            <w:r>
              <w:t xml:space="preserve">úspešné ukončenie projektu a </w:t>
            </w:r>
            <w:r w:rsidRPr="002E7712">
              <w:t>čo najplynulejšiu realizáciu stavebných prác.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CF0D21" w:rsidP="005F0BD5">
            <w:r>
              <w:t>V mesiaci august neboli realizované žiadne aktivity týkajúce sa publicity.</w:t>
            </w:r>
          </w:p>
        </w:tc>
      </w:tr>
    </w:tbl>
    <w:p w:rsidR="0065201F" w:rsidRDefault="0065201F" w:rsidP="005F0BD5"/>
    <w:p w:rsidR="0065201F" w:rsidRDefault="0065201F" w:rsidP="005F0BD5"/>
    <w:p w:rsidR="00647E2E" w:rsidRDefault="00647E2E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A3560A" w:rsidRDefault="00A3560A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755127" w:rsidRP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3. Finančný pokrok v realizácii aktivít 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721176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3272E8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721176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4B4C86" w:rsidTr="003272E8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vAlign w:val="center"/>
          </w:tcPr>
          <w:p w:rsidR="00763AA8" w:rsidRDefault="00656341" w:rsidP="0035462B">
            <w:pPr>
              <w:jc w:val="right"/>
            </w:pPr>
            <w:r w:rsidRPr="00656341">
              <w:t>2641,1</w:t>
            </w:r>
            <w:r>
              <w:t>0</w:t>
            </w:r>
          </w:p>
        </w:tc>
        <w:tc>
          <w:tcPr>
            <w:tcW w:w="2835" w:type="dxa"/>
            <w:vAlign w:val="center"/>
          </w:tcPr>
          <w:p w:rsidR="00763AA8" w:rsidRDefault="00E62E1B" w:rsidP="0035462B">
            <w:pPr>
              <w:jc w:val="right"/>
            </w:pPr>
            <w:r w:rsidRPr="00E62E1B">
              <w:t xml:space="preserve">14 550,10   </w:t>
            </w: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vAlign w:val="center"/>
          </w:tcPr>
          <w:p w:rsidR="00763AA8" w:rsidRDefault="00656341" w:rsidP="0035462B">
            <w:pPr>
              <w:jc w:val="right"/>
            </w:pPr>
            <w:r w:rsidRPr="00656341">
              <w:t>1912,34</w:t>
            </w:r>
          </w:p>
        </w:tc>
        <w:tc>
          <w:tcPr>
            <w:tcW w:w="2835" w:type="dxa"/>
            <w:vAlign w:val="center"/>
          </w:tcPr>
          <w:p w:rsidR="00763AA8" w:rsidRDefault="00E62E1B" w:rsidP="0035462B">
            <w:pPr>
              <w:jc w:val="right"/>
            </w:pPr>
            <w:r w:rsidRPr="00E62E1B">
              <w:t>11 240,60</w:t>
            </w: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vAlign w:val="center"/>
          </w:tcPr>
          <w:p w:rsidR="00763AA8" w:rsidRDefault="00656341" w:rsidP="0035462B">
            <w:pPr>
              <w:jc w:val="right"/>
            </w:pPr>
            <w:r w:rsidRPr="00656341">
              <w:t>2426,68</w:t>
            </w:r>
          </w:p>
        </w:tc>
        <w:tc>
          <w:tcPr>
            <w:tcW w:w="2835" w:type="dxa"/>
            <w:vAlign w:val="center"/>
          </w:tcPr>
          <w:p w:rsidR="00763AA8" w:rsidRDefault="00E62E1B" w:rsidP="0035462B">
            <w:pPr>
              <w:jc w:val="right"/>
            </w:pPr>
            <w:r w:rsidRPr="00E62E1B">
              <w:t>16 196,59</w:t>
            </w: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2.2. Vybavenie objektov UVP na TUKE prístrojovou, IKT a špecializovanou technikou pre potreby VaV</w:t>
            </w:r>
          </w:p>
        </w:tc>
        <w:tc>
          <w:tcPr>
            <w:tcW w:w="2833" w:type="dxa"/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2.3 Nadstavba, zateplenie a modernizácia časti UVP TECHNICOM na Jesennej 5 v Košiciach</w:t>
            </w:r>
          </w:p>
        </w:tc>
        <w:tc>
          <w:tcPr>
            <w:tcW w:w="2833" w:type="dxa"/>
            <w:vAlign w:val="center"/>
          </w:tcPr>
          <w:p w:rsidR="00763AA8" w:rsidRDefault="004045FD" w:rsidP="0035462B">
            <w:pPr>
              <w:jc w:val="right"/>
            </w:pPr>
            <w:r w:rsidRPr="004045FD">
              <w:t>51 680,68</w:t>
            </w:r>
          </w:p>
        </w:tc>
        <w:tc>
          <w:tcPr>
            <w:tcW w:w="2835" w:type="dxa"/>
            <w:vAlign w:val="center"/>
          </w:tcPr>
          <w:p w:rsidR="00763AA8" w:rsidRDefault="004045FD" w:rsidP="0035462B">
            <w:pPr>
              <w:jc w:val="right"/>
            </w:pPr>
            <w:r w:rsidRPr="004045FD">
              <w:t>697 891,38</w:t>
            </w: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shd w:val="clear" w:color="auto" w:fill="9BD4F9" w:themeFill="background2" w:themeFillShade="E6"/>
          </w:tcPr>
          <w:p w:rsidR="00763AA8" w:rsidRDefault="00763AA8" w:rsidP="00721176">
            <w:r w:rsidRPr="006D6EB3">
              <w:t xml:space="preserve">Aktivita 2.4  Vybavenie UVP </w:t>
            </w:r>
            <w:r w:rsidRPr="006D6EB3">
              <w:lastRenderedPageBreak/>
              <w:t>TECHNICOM Jesenná 5 infraštruktúrou potrebnou k realizácii aplikovaného výskumu</w:t>
            </w:r>
          </w:p>
        </w:tc>
        <w:tc>
          <w:tcPr>
            <w:tcW w:w="2833" w:type="dxa"/>
            <w:vAlign w:val="center"/>
          </w:tcPr>
          <w:p w:rsidR="00763AA8" w:rsidRDefault="004045FD" w:rsidP="0035462B">
            <w:pPr>
              <w:jc w:val="right"/>
            </w:pPr>
            <w:r w:rsidRPr="004045FD">
              <w:lastRenderedPageBreak/>
              <w:t>632 593,60</w:t>
            </w:r>
          </w:p>
        </w:tc>
        <w:tc>
          <w:tcPr>
            <w:tcW w:w="2835" w:type="dxa"/>
            <w:vAlign w:val="center"/>
          </w:tcPr>
          <w:p w:rsidR="00763AA8" w:rsidRDefault="004045FD" w:rsidP="0035462B">
            <w:pPr>
              <w:jc w:val="right"/>
            </w:pPr>
            <w:r w:rsidRPr="004045FD">
              <w:t>1 541 845,85</w:t>
            </w:r>
          </w:p>
        </w:tc>
        <w:tc>
          <w:tcPr>
            <w:tcW w:w="2977" w:type="dxa"/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721176">
            <w:r w:rsidRPr="006D6EB3">
              <w:lastRenderedPageBreak/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Default="00763AA8" w:rsidP="00721176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721176">
            <w:r w:rsidRPr="006D6EB3">
              <w:t>Aktivita 3.5 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721176">
            <w:r w:rsidRPr="006D6EB3">
              <w:t xml:space="preserve">Aktivita 3.6.  </w:t>
            </w:r>
            <w:r w:rsidRPr="006D6EB3">
              <w:lastRenderedPageBreak/>
              <w:t>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656341" w:rsidP="0035462B">
            <w:pPr>
              <w:jc w:val="right"/>
            </w:pPr>
            <w:r w:rsidRPr="00656341">
              <w:lastRenderedPageBreak/>
              <w:t>428713,34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E62E1B" w:rsidP="0035462B">
            <w:pPr>
              <w:jc w:val="right"/>
            </w:pPr>
            <w:r w:rsidRPr="00E62E1B">
              <w:t>690 532,73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763AA8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763AA8" w:rsidRPr="006D6EB3" w:rsidRDefault="00763AA8" w:rsidP="00721176">
            <w:r w:rsidRPr="006D6EB3">
              <w:lastRenderedPageBreak/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35462B">
            <w:pPr>
              <w:jc w:val="right"/>
            </w:pPr>
          </w:p>
        </w:tc>
      </w:tr>
      <w:tr w:rsidR="004B4C86" w:rsidTr="0035462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Default="004045FD" w:rsidP="0035462B">
            <w:pPr>
              <w:jc w:val="right"/>
            </w:pPr>
            <w:r w:rsidRPr="004045FD">
              <w:t>1 119 967,74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Default="004045FD" w:rsidP="0035462B">
            <w:pPr>
              <w:jc w:val="right"/>
            </w:pPr>
            <w:r w:rsidRPr="004045FD">
              <w:t>2 972 257,25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B4C86" w:rsidRDefault="004B4C86" w:rsidP="0035462B">
            <w:pPr>
              <w:jc w:val="right"/>
            </w:pPr>
          </w:p>
        </w:tc>
      </w:tr>
      <w:tr w:rsidR="004B4C86" w:rsidRPr="0065201F" w:rsidTr="003272E8">
        <w:tc>
          <w:tcPr>
            <w:tcW w:w="10490" w:type="dxa"/>
            <w:gridSpan w:val="4"/>
            <w:shd w:val="clear" w:color="auto" w:fill="9BD4F9" w:themeFill="background2" w:themeFillShade="E6"/>
            <w:vAlign w:val="bottom"/>
          </w:tcPr>
          <w:p w:rsidR="004B4C86" w:rsidRPr="0065201F" w:rsidRDefault="004B4C86" w:rsidP="00721176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442CAC" w:rsidTr="00E62E1B">
        <w:tc>
          <w:tcPr>
            <w:tcW w:w="1845" w:type="dxa"/>
            <w:shd w:val="clear" w:color="auto" w:fill="9BD4F9" w:themeFill="background2" w:themeFillShade="E6"/>
          </w:tcPr>
          <w:p w:rsidR="00442CAC" w:rsidRDefault="00442CAC" w:rsidP="00721176">
            <w:r>
              <w:t>Riadenie projektu</w:t>
            </w:r>
          </w:p>
        </w:tc>
        <w:tc>
          <w:tcPr>
            <w:tcW w:w="2833" w:type="dxa"/>
            <w:vAlign w:val="center"/>
          </w:tcPr>
          <w:p w:rsidR="00442CAC" w:rsidRDefault="00656341" w:rsidP="0035462B">
            <w:pPr>
              <w:jc w:val="right"/>
            </w:pPr>
            <w:r w:rsidRPr="00656341">
              <w:t>65484,91</w:t>
            </w:r>
          </w:p>
        </w:tc>
        <w:tc>
          <w:tcPr>
            <w:tcW w:w="2835" w:type="dxa"/>
            <w:vAlign w:val="center"/>
          </w:tcPr>
          <w:p w:rsidR="00442CAC" w:rsidRDefault="00E62E1B" w:rsidP="00E62E1B">
            <w:pPr>
              <w:jc w:val="right"/>
            </w:pPr>
            <w:r w:rsidRPr="00E62E1B">
              <w:t>94 733,92</w:t>
            </w:r>
          </w:p>
        </w:tc>
        <w:tc>
          <w:tcPr>
            <w:tcW w:w="2977" w:type="dxa"/>
          </w:tcPr>
          <w:p w:rsidR="00442CAC" w:rsidRDefault="00442CAC" w:rsidP="00721176"/>
        </w:tc>
      </w:tr>
      <w:tr w:rsidR="00442CAC" w:rsidTr="00E62E1B"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442CAC" w:rsidRDefault="00442CAC" w:rsidP="00721176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442CAC" w:rsidRDefault="00656341" w:rsidP="0035462B">
            <w:pPr>
              <w:jc w:val="right"/>
            </w:pPr>
            <w:r w:rsidRPr="00656341">
              <w:t>8106,42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CAC" w:rsidRDefault="00931EF3" w:rsidP="00E62E1B">
            <w:pPr>
              <w:jc w:val="right"/>
            </w:pPr>
            <w:r w:rsidRPr="00931EF3">
              <w:t>1 553,07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2CAC" w:rsidRDefault="00442CAC" w:rsidP="00721176"/>
        </w:tc>
      </w:tr>
      <w:tr w:rsidR="004B4C86" w:rsidTr="00E62E1B">
        <w:tc>
          <w:tcPr>
            <w:tcW w:w="1845" w:type="dxa"/>
            <w:shd w:val="clear" w:color="auto" w:fill="9BD4F9" w:themeFill="background2" w:themeFillShade="E6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B4C86" w:rsidRDefault="0035462B" w:rsidP="0035462B">
            <w:pPr>
              <w:jc w:val="right"/>
            </w:pPr>
            <w:r w:rsidRPr="0035462B">
              <w:t>73591,33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C86" w:rsidRDefault="004045FD" w:rsidP="00E62E1B">
            <w:pPr>
              <w:jc w:val="right"/>
            </w:pPr>
            <w:r w:rsidRPr="004045FD">
              <w:t>96 286,99</w:t>
            </w:r>
          </w:p>
        </w:tc>
        <w:tc>
          <w:tcPr>
            <w:tcW w:w="2977" w:type="dxa"/>
          </w:tcPr>
          <w:p w:rsidR="004B4C86" w:rsidRDefault="004B4C86" w:rsidP="00721176"/>
        </w:tc>
      </w:tr>
    </w:tbl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FootnoteText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721176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Rozpočet projektu podľa skupín výdavkov</w:t>
            </w:r>
          </w:p>
        </w:tc>
      </w:tr>
      <w:tr w:rsidR="00680FE9" w:rsidRPr="00E156FE" w:rsidTr="00721176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 xml:space="preserve">Výdavky deklarované v ŽoP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721176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721176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FootnoteReference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FootnoteReference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</w:tcPr>
          <w:p w:rsidR="00680FE9" w:rsidRPr="00E3587A" w:rsidRDefault="00680FE9" w:rsidP="00721176">
            <w:pPr>
              <w:jc w:val="center"/>
              <w:rPr>
                <w:rFonts w:cs="Arial"/>
                <w:b/>
              </w:rPr>
            </w:pPr>
          </w:p>
        </w:tc>
      </w:tr>
      <w:tr w:rsidR="005425C7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425C7" w:rsidRDefault="005425C7" w:rsidP="005425C7">
            <w:r>
              <w:t>610620 osobné náklady</w:t>
            </w:r>
          </w:p>
        </w:tc>
        <w:tc>
          <w:tcPr>
            <w:tcW w:w="73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1 217 749,80</w:t>
            </w:r>
          </w:p>
        </w:tc>
        <w:tc>
          <w:tcPr>
            <w:tcW w:w="80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25C7" w:rsidRDefault="00C664DA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 xml:space="preserve">869 206,47    </w:t>
            </w: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25C7" w:rsidRDefault="00C664DA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 xml:space="preserve">841 666,10   </w:t>
            </w:r>
          </w:p>
        </w:tc>
        <w:tc>
          <w:tcPr>
            <w:tcW w:w="66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25C7" w:rsidRDefault="00C664DA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 xml:space="preserve">503 283,40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425C7" w:rsidRDefault="00C664DA" w:rsidP="00C664D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41,33</w:t>
            </w:r>
          </w:p>
        </w:tc>
      </w:tr>
      <w:tr w:rsidR="005425C7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425C7" w:rsidRDefault="005425C7" w:rsidP="005425C7">
            <w:r>
              <w:t>631001 Tuzemské cestovné náklady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7 600,00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425C7" w:rsidRDefault="007E686D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2 124,52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25C7" w:rsidRDefault="007E686D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2 124,52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425C7" w:rsidRDefault="007E686D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1 160,00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425C7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>15,26</w:t>
            </w:r>
          </w:p>
        </w:tc>
      </w:tr>
      <w:tr w:rsidR="005425C7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425C7" w:rsidRDefault="005425C7" w:rsidP="005425C7">
            <w:r>
              <w:t>631002 Zahraničné cestovné náhrady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425C7" w:rsidRDefault="007E686D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45 438,64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5425C7" w:rsidRDefault="007E686D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40 510,03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425C7" w:rsidRDefault="007E686D" w:rsidP="005425C7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18 674,40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425C7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>18,86</w:t>
            </w:r>
          </w:p>
        </w:tc>
      </w:tr>
      <w:tr w:rsidR="005425C7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5425C7" w:rsidRPr="00326665" w:rsidRDefault="005425C7" w:rsidP="005425C7">
            <w:r w:rsidRPr="00326665">
              <w:t>633001 Materiál - Interiérové vybavenie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84 070,00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5425C7" w:rsidRDefault="005425C7" w:rsidP="005425C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E686D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E686D" w:rsidRDefault="007E686D" w:rsidP="007E686D">
            <w:r w:rsidRPr="00326665">
              <w:t>633002 Materiál Výpočtová technika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48 659,00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48 659,00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48 659,00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48 659,00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7E686D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E686D" w:rsidRDefault="007E686D" w:rsidP="007E686D">
            <w:r>
              <w:t xml:space="preserve">633003 Materiál Telekomunikačná technika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E686D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E686D" w:rsidRPr="00896DFB" w:rsidRDefault="007E686D" w:rsidP="007E686D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5425C7">
              <w:rPr>
                <w:rFonts w:ascii="Calibri" w:hAnsi="Calibri"/>
                <w:color w:val="000000"/>
              </w:rPr>
              <w:t>15 819,00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E686D" w:rsidRDefault="00C11AB2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C11AB2">
              <w:rPr>
                <w:rFonts w:ascii="Calibri" w:hAnsi="Calibri"/>
                <w:color w:val="000000"/>
              </w:rPr>
              <w:t xml:space="preserve">14 569,00    </w:t>
            </w:r>
            <w:r w:rsidR="007E686D" w:rsidRPr="007E686D">
              <w:rPr>
                <w:rFonts w:ascii="Calibri" w:hAnsi="Calibri"/>
                <w:color w:val="000000"/>
              </w:rPr>
              <w:t xml:space="preserve">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E686D" w:rsidRDefault="00C11AB2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C11AB2">
              <w:rPr>
                <w:rFonts w:ascii="Calibri" w:hAnsi="Calibri"/>
                <w:color w:val="000000"/>
              </w:rPr>
              <w:t xml:space="preserve">14 569,00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E686D" w:rsidRDefault="00C11AB2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C11AB2">
              <w:rPr>
                <w:rFonts w:ascii="Calibri" w:hAnsi="Calibri"/>
                <w:color w:val="000000"/>
              </w:rPr>
              <w:t xml:space="preserve">14 569,00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E686D" w:rsidRDefault="00C11AB2" w:rsidP="00C11AB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92,10</w:t>
            </w:r>
          </w:p>
        </w:tc>
      </w:tr>
      <w:tr w:rsidR="007E686D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E686D" w:rsidRDefault="007E686D" w:rsidP="007E686D">
            <w:r w:rsidRPr="00896DFB">
              <w:t xml:space="preserve">633005 Materiál </w:t>
            </w:r>
            <w:r w:rsidRPr="00896DFB">
              <w:lastRenderedPageBreak/>
              <w:t>Špeciálne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E686D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E686D" w:rsidRDefault="007E686D" w:rsidP="007E686D">
            <w:r>
              <w:lastRenderedPageBreak/>
              <w:t xml:space="preserve">633006 Všeobecný materiál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5425C7">
              <w:rPr>
                <w:rFonts w:ascii="Calibri" w:hAnsi="Calibri"/>
                <w:color w:val="000000"/>
              </w:rPr>
              <w:t>22 630,00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1 000,00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1 000,00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 w:rsidRPr="007E686D">
              <w:rPr>
                <w:rFonts w:ascii="Calibri" w:hAnsi="Calibri"/>
                <w:color w:val="000000"/>
              </w:rPr>
              <w:t xml:space="preserve">1 000,00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4,42</w:t>
            </w:r>
          </w:p>
        </w:tc>
      </w:tr>
      <w:tr w:rsidR="007E686D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7E686D" w:rsidRPr="008E20F2" w:rsidRDefault="007E686D" w:rsidP="007E686D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7E686D" w:rsidRDefault="007E686D" w:rsidP="007E686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8E20F2" w:rsidRDefault="003F33F6" w:rsidP="003F33F6">
            <w:r w:rsidRPr="008E20F2">
              <w:t>633013 Materiál Softvér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5425C7">
              <w:rPr>
                <w:rFonts w:ascii="Calibri" w:hAnsi="Calibri"/>
                <w:color w:val="000000"/>
              </w:rPr>
              <w:t>8 330,00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3F33F6">
              <w:rPr>
                <w:rFonts w:ascii="Calibri" w:hAnsi="Calibri"/>
                <w:color w:val="000000"/>
              </w:rPr>
              <w:t xml:space="preserve">6 330,00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3F33F6">
              <w:rPr>
                <w:rFonts w:ascii="Calibri" w:hAnsi="Calibri"/>
                <w:color w:val="000000"/>
              </w:rPr>
              <w:t xml:space="preserve">6 330,00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3F33F6">
              <w:rPr>
                <w:rFonts w:ascii="Calibri" w:hAnsi="Calibri"/>
                <w:color w:val="000000"/>
              </w:rPr>
              <w:t xml:space="preserve">6 330,00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75,99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Default="003F33F6" w:rsidP="003F33F6">
            <w:r w:rsidRPr="008E20F2">
              <w:t>633018 Licencie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1129D3" w:rsidRDefault="003F33F6" w:rsidP="003F33F6">
            <w:r w:rsidRPr="001129D3">
              <w:t>635002 Údržba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1129D3" w:rsidRDefault="003F33F6" w:rsidP="003F33F6">
            <w:r w:rsidRPr="001129D3">
              <w:t>635004 Údržba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Default="003F33F6" w:rsidP="003F33F6">
            <w:r w:rsidRPr="001129D3">
              <w:t>635009 Údržba softwéru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8E0B3B" w:rsidRDefault="003F33F6" w:rsidP="003F33F6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F545F2">
              <w:rPr>
                <w:rFonts w:ascii="Calibri" w:hAnsi="Calibri"/>
                <w:color w:val="000000"/>
              </w:rPr>
              <w:t xml:space="preserve">3 809,54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F545F2">
              <w:rPr>
                <w:rFonts w:ascii="Calibri" w:hAnsi="Calibri"/>
                <w:color w:val="000000"/>
              </w:rPr>
              <w:t xml:space="preserve">3 117,66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F545F2">
              <w:rPr>
                <w:rFonts w:ascii="Calibri" w:hAnsi="Calibri"/>
                <w:color w:val="000000"/>
              </w:rPr>
              <w:t xml:space="preserve">909,88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9,10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8E0B3B" w:rsidRDefault="003F33F6" w:rsidP="003F33F6">
            <w:r w:rsidRPr="008E0B3B">
              <w:t>637003 Propagácia, reklama a inzercia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8 537,88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F545F2">
              <w:rPr>
                <w:rFonts w:ascii="Calibri" w:hAnsi="Calibri"/>
                <w:color w:val="000000"/>
              </w:rPr>
              <w:t xml:space="preserve">8 533,07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F545F2">
              <w:rPr>
                <w:rFonts w:ascii="Calibri" w:hAnsi="Calibri"/>
                <w:color w:val="000000"/>
              </w:rPr>
              <w:t xml:space="preserve">8 533,07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F545F2">
              <w:rPr>
                <w:rFonts w:ascii="Calibri" w:hAnsi="Calibri"/>
                <w:color w:val="000000"/>
              </w:rPr>
              <w:t xml:space="preserve">8 533,07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F545F2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99,94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Default="003F33F6" w:rsidP="003F33F6">
            <w:r w:rsidRPr="008E0B3B">
              <w:t>637004 Všeobecné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8351BE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8351BE">
              <w:rPr>
                <w:rFonts w:ascii="Calibri" w:hAnsi="Calibri"/>
                <w:color w:val="000000"/>
              </w:rPr>
              <w:t xml:space="preserve">1 586,21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8351BE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8351BE">
              <w:rPr>
                <w:rFonts w:ascii="Calibri" w:hAnsi="Calibri"/>
                <w:color w:val="000000"/>
              </w:rPr>
              <w:t xml:space="preserve">1 586,21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8351BE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8351BE">
              <w:rPr>
                <w:rFonts w:ascii="Calibri" w:hAnsi="Calibri"/>
                <w:color w:val="000000"/>
              </w:rPr>
              <w:t xml:space="preserve">1 210,71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8351BE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48,43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0659C1" w:rsidRDefault="003F33F6" w:rsidP="003F33F6">
            <w:r w:rsidRPr="000659C1">
              <w:t>637005 Špeciálne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0659C1" w:rsidRDefault="003F33F6" w:rsidP="003F33F6">
            <w:r w:rsidRPr="000659C1">
              <w:t>637011 Štúdie, expertízy, posudky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Default="003F33F6" w:rsidP="003F33F6">
            <w:r w:rsidRPr="000659C1">
              <w:t>637012 Poplatky a odvody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153502" w:rsidRDefault="003F33F6" w:rsidP="003F33F6">
            <w:r w:rsidRPr="00153502">
              <w:t>637015 Poistné iné ako do ZP, SP a povinného poistenia vozidla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105C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61,75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105C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0F03E1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105C6" w:rsidP="008E59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153502" w:rsidRDefault="003F33F6" w:rsidP="003F33F6">
            <w:r w:rsidRPr="00153502">
              <w:t>637027 Odmeny zamestnancov mimopracovného pomeru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 xml:space="preserve">16 133,24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 xml:space="preserve">15 861,57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 xml:space="preserve">1 317,79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E740B">
            <w:pPr>
              <w:jc w:val="right"/>
              <w:rPr>
                <w:rFonts w:ascii="Calibri" w:hAnsi="Calibri"/>
                <w:color w:val="000000"/>
              </w:rPr>
            </w:pPr>
            <w:r w:rsidRPr="00C664DA">
              <w:rPr>
                <w:rFonts w:ascii="Calibri" w:hAnsi="Calibri"/>
                <w:color w:val="000000"/>
              </w:rPr>
              <w:t>5,38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Default="003F33F6" w:rsidP="003F33F6">
            <w:r w:rsidRPr="00153502">
              <w:t>711003 Nákup softvéru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105C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105C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105C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105C6" w:rsidP="003F33F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17,05</w:t>
            </w: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94070C" w:rsidRDefault="003F33F6" w:rsidP="003F33F6">
            <w:r w:rsidRPr="0094070C">
              <w:t>711004 Nákup licencií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F33F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F33F6" w:rsidRPr="0094070C" w:rsidRDefault="003F33F6" w:rsidP="003F33F6">
            <w:r w:rsidRPr="0094070C">
              <w:t xml:space="preserve">713001 Nákup </w:t>
            </w:r>
            <w:r w:rsidRPr="0094070C">
              <w:lastRenderedPageBreak/>
              <w:t>interiérového vybavenia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F33F6" w:rsidRDefault="003F33F6" w:rsidP="003F33F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105C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105C6" w:rsidRDefault="003105C6" w:rsidP="003105C6">
            <w:r w:rsidRPr="0094070C">
              <w:lastRenderedPageBreak/>
              <w:t>713002 Nákup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925 094,00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105C6" w:rsidRDefault="000F03E1" w:rsidP="003105C6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486 594,00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105C6" w:rsidRDefault="000F03E1" w:rsidP="003105C6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486 594,00    </w:t>
            </w:r>
            <w:r w:rsidR="003105C6" w:rsidRPr="003105C6"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105C6" w:rsidRDefault="000F03E1" w:rsidP="003105C6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481 394,00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105C6" w:rsidRDefault="003105C6" w:rsidP="000F03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0F03E1">
              <w:rPr>
                <w:rFonts w:ascii="Calibri" w:hAnsi="Calibri"/>
                <w:color w:val="000000"/>
              </w:rPr>
              <w:t>2,04</w:t>
            </w:r>
          </w:p>
        </w:tc>
      </w:tr>
      <w:tr w:rsidR="003105C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105C6" w:rsidRDefault="003105C6" w:rsidP="003105C6">
            <w:r w:rsidRPr="00A02D4C">
              <w:t>713003 Nákup telekomunikačnej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105C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105C6" w:rsidRPr="00F47E8E" w:rsidRDefault="003105C6" w:rsidP="003105C6">
            <w:r w:rsidRPr="00F47E8E">
              <w:t>713004 Nákup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1 078 099,63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105C6" w:rsidRDefault="000F03E1" w:rsidP="003105C6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59 756,00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105C6" w:rsidRDefault="000F03E1" w:rsidP="003105C6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59 756,00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3105C6" w:rsidRDefault="000F03E1" w:rsidP="003105C6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31 436,00    </w:t>
            </w:r>
            <w:r w:rsidR="003105C6" w:rsidRPr="003105C6"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3105C6" w:rsidRDefault="000F03E1" w:rsidP="000F03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2,92</w:t>
            </w:r>
          </w:p>
        </w:tc>
      </w:tr>
      <w:tr w:rsidR="003105C6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3105C6" w:rsidRPr="00F47E8E" w:rsidRDefault="003105C6" w:rsidP="003105C6">
            <w:r w:rsidRPr="00F47E8E">
              <w:t>713005 Nákup špeciálnych strojov, prístrojov, zariadení, techniky, náradia a materiálu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3105C6" w:rsidRDefault="003105C6" w:rsidP="003105C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641B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Default="0021641B" w:rsidP="0021641B">
            <w:r w:rsidRPr="00F47E8E">
              <w:t>713006 Nákup komunikačnej infraštruktúry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76 000,00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21641B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Pr="003A20D3" w:rsidRDefault="0021641B" w:rsidP="0021641B">
            <w:r w:rsidRPr="003A20D3">
              <w:t>716 Prípravná a projektová dokumentácia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34 780,00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21641B">
              <w:rPr>
                <w:rFonts w:ascii="Calibri" w:hAnsi="Calibri"/>
                <w:color w:val="000000"/>
              </w:rPr>
              <w:t xml:space="preserve">26 400,00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21641B">
              <w:rPr>
                <w:rFonts w:ascii="Calibri" w:hAnsi="Calibri"/>
                <w:color w:val="000000"/>
              </w:rPr>
              <w:t xml:space="preserve">26 400,00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krátené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1641B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Pr="003A20D3" w:rsidRDefault="0021641B" w:rsidP="0021641B">
            <w:r w:rsidRPr="003A20D3">
              <w:t>717001 Realizácia nových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641B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Default="0021641B" w:rsidP="0021641B">
            <w:r w:rsidRPr="003A20D3">
              <w:t>717002 Rekonštrukcia a modernizácia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628 942,53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61 247,49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61 247,49    </w:t>
            </w:r>
            <w:r w:rsidR="0021641B" w:rsidRPr="0021641B"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51 088,72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8,12</w:t>
            </w:r>
          </w:p>
        </w:tc>
      </w:tr>
      <w:tr w:rsidR="000F03E1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0F03E1" w:rsidRPr="00542E66" w:rsidRDefault="000F03E1" w:rsidP="000F03E1">
            <w:r w:rsidRPr="00542E66">
              <w:t>717003 Prístavby, nadstavby, stavebné úpravy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F03E1" w:rsidRDefault="000F03E1" w:rsidP="000F03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125 300,69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0F03E1" w:rsidRDefault="000F03E1" w:rsidP="000F03E1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3 312,00    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0F03E1" w:rsidRDefault="000F03E1" w:rsidP="000F03E1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3 312,00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F03E1" w:rsidRDefault="000F03E1" w:rsidP="000F03E1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 xml:space="preserve">3 312,00    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0F03E1" w:rsidRDefault="000F03E1" w:rsidP="000F03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</w:tr>
      <w:tr w:rsidR="0021641B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Default="0021641B" w:rsidP="0021641B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1641B" w:rsidRDefault="003E740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8 812,00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641B" w:rsidRPr="00E156FE" w:rsidTr="0069236F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Pr="00E3587A" w:rsidRDefault="0021641B" w:rsidP="0021641B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4 486 424,53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>1 738 260,93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>1 704 828,40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1641B" w:rsidRDefault="000F03E1" w:rsidP="0021641B">
            <w:pPr>
              <w:jc w:val="right"/>
              <w:rPr>
                <w:rFonts w:ascii="Calibri" w:hAnsi="Calibri"/>
                <w:color w:val="000000"/>
              </w:rPr>
            </w:pPr>
            <w:r w:rsidRPr="000F03E1">
              <w:rPr>
                <w:rFonts w:ascii="Calibri" w:hAnsi="Calibri"/>
                <w:color w:val="000000"/>
              </w:rPr>
              <w:t>1 256 377,97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21641B" w:rsidRDefault="0021641B" w:rsidP="0021641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1641B" w:rsidRPr="00E156FE" w:rsidTr="00721176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Pr="00E3587A" w:rsidRDefault="0021641B" w:rsidP="0021641B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</w:tcPr>
          <w:p w:rsidR="0021641B" w:rsidRPr="00E3587A" w:rsidRDefault="0021641B" w:rsidP="0021641B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</w:tcPr>
          <w:p w:rsidR="0021641B" w:rsidRPr="00E3587A" w:rsidRDefault="0021641B" w:rsidP="0021641B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</w:tcPr>
          <w:p w:rsidR="0021641B" w:rsidRPr="00E3587A" w:rsidRDefault="0021641B" w:rsidP="0021641B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</w:tcPr>
          <w:p w:rsidR="0021641B" w:rsidRPr="00E3587A" w:rsidRDefault="0021641B" w:rsidP="0021641B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</w:tcPr>
          <w:p w:rsidR="0021641B" w:rsidRPr="00E3587A" w:rsidRDefault="0021641B" w:rsidP="0021641B">
            <w:pPr>
              <w:jc w:val="right"/>
              <w:rPr>
                <w:rFonts w:cs="Arial"/>
              </w:rPr>
            </w:pPr>
          </w:p>
        </w:tc>
      </w:tr>
      <w:tr w:rsidR="0021641B" w:rsidRPr="00E156FE" w:rsidTr="00721176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</w:tcPr>
          <w:p w:rsidR="0021641B" w:rsidRPr="00E3587A" w:rsidRDefault="0021641B" w:rsidP="0021641B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FootnoteReference"/>
                <w:rFonts w:cs="Arial"/>
                <w:b/>
              </w:rPr>
              <w:t>5</w:t>
            </w:r>
          </w:p>
        </w:tc>
      </w:tr>
      <w:tr w:rsidR="0021641B" w:rsidRPr="00E156FE" w:rsidTr="00721176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</w:tcPr>
          <w:p w:rsidR="0021641B" w:rsidRPr="00E3587A" w:rsidRDefault="0021641B" w:rsidP="0021641B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</w:tcPr>
          <w:p w:rsidR="0021641B" w:rsidRPr="00E3587A" w:rsidRDefault="0021641B" w:rsidP="0021641B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A3560A" w:rsidRDefault="00A3560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FootnoteText"/>
        <w:rPr>
          <w:rFonts w:ascii="Arial Narrow" w:hAnsi="Arial Narrow"/>
          <w:sz w:val="18"/>
          <w:szCs w:val="18"/>
        </w:rPr>
      </w:pPr>
      <w:r w:rsidRPr="00E22E36">
        <w:rPr>
          <w:rStyle w:val="FootnoteReference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ŽoP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FootnoteText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>plánu predkladania  ŽoP</w:t>
      </w:r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E22E36" w:rsidRDefault="00E22E36" w:rsidP="005F0BD5"/>
    <w:p w:rsidR="00D70695" w:rsidRDefault="00147445" w:rsidP="005F0BD5">
      <w:r>
        <w:lastRenderedPageBreak/>
        <w:t>4</w:t>
      </w:r>
      <w:r w:rsidR="00C706AA">
        <w:t xml:space="preserve">. Prílohy </w:t>
      </w:r>
    </w:p>
    <w:p w:rsidR="00D70695" w:rsidRDefault="00D70695" w:rsidP="005F0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P.č.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ŽoP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D70695" w:rsidRDefault="00D70695" w:rsidP="005F0BD5"/>
    <w:p w:rsidR="00147445" w:rsidRDefault="00147445" w:rsidP="005F0BD5"/>
    <w:p w:rsidR="00147445" w:rsidRDefault="00147445" w:rsidP="005F0BD5"/>
    <w:p w:rsidR="00147445" w:rsidRDefault="00147445" w:rsidP="005F0BD5"/>
    <w:p w:rsidR="00147445" w:rsidRDefault="00147445" w:rsidP="005F0BD5"/>
    <w:p w:rsidR="00C322BA" w:rsidRPr="00C65A6F" w:rsidRDefault="00C322BA" w:rsidP="005F0BD5"/>
    <w:p w:rsidR="00C65A6F" w:rsidRPr="00C65A6F" w:rsidRDefault="00C65A6F" w:rsidP="00C65A6F">
      <w:pPr>
        <w:pStyle w:val="BodyText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4000"/>
      </w:tblGrid>
      <w:tr w:rsidR="00C65A6F" w:rsidRPr="00C65A6F" w:rsidTr="00721176">
        <w:trPr>
          <w:jc w:val="center"/>
        </w:trPr>
        <w:tc>
          <w:tcPr>
            <w:tcW w:w="8568" w:type="dxa"/>
            <w:gridSpan w:val="2"/>
          </w:tcPr>
          <w:p w:rsidR="00C65A6F" w:rsidRPr="002877FE" w:rsidRDefault="00C65A6F" w:rsidP="00721176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  <w:r w:rsidRPr="002877FE">
              <w:rPr>
                <w:rFonts w:cs="Arial"/>
                <w:b/>
                <w:bCs/>
                <w:u w:val="single"/>
              </w:rPr>
              <w:t>Vypracoval:</w:t>
            </w:r>
            <w:r w:rsidR="005531A7" w:rsidRPr="005531A7">
              <w:rPr>
                <w:rFonts w:cs="Arial"/>
                <w:b/>
                <w:bCs/>
              </w:rPr>
              <w:t xml:space="preserve"> RNDr. Jozef Gajdoš, PhD.</w:t>
            </w:r>
          </w:p>
        </w:tc>
      </w:tr>
      <w:tr w:rsidR="00C65A6F" w:rsidRPr="00C65A6F" w:rsidTr="00721176">
        <w:trPr>
          <w:jc w:val="center"/>
        </w:trPr>
        <w:tc>
          <w:tcPr>
            <w:tcW w:w="4568" w:type="dxa"/>
          </w:tcPr>
          <w:p w:rsid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</w:p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vyhotoven</w:t>
            </w:r>
            <w:r>
              <w:rPr>
                <w:rFonts w:cs="Arial"/>
              </w:rPr>
              <w:t>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Default="005531A7" w:rsidP="00721176">
            <w:pPr>
              <w:spacing w:before="20" w:after="20"/>
              <w:ind w:right="-820"/>
              <w:rPr>
                <w:rFonts w:cs="Arial"/>
              </w:rPr>
            </w:pPr>
            <w:r>
              <w:rPr>
                <w:rFonts w:cs="Arial"/>
              </w:rPr>
              <w:t>Projektový manažér</w:t>
            </w:r>
          </w:p>
          <w:p w:rsidR="005531A7" w:rsidRDefault="005531A7" w:rsidP="00721176">
            <w:pPr>
              <w:spacing w:before="20" w:after="20"/>
              <w:ind w:right="-820"/>
              <w:rPr>
                <w:rFonts w:cs="Arial"/>
              </w:rPr>
            </w:pPr>
          </w:p>
          <w:p w:rsidR="005531A7" w:rsidRPr="00C65A6F" w:rsidRDefault="005531A7" w:rsidP="00721176">
            <w:pPr>
              <w:spacing w:before="20" w:after="20"/>
              <w:ind w:right="-820"/>
              <w:rPr>
                <w:rFonts w:cs="Arial"/>
              </w:rPr>
            </w:pPr>
            <w:r>
              <w:rPr>
                <w:rFonts w:cs="Arial"/>
              </w:rPr>
              <w:t>7.10.2015</w:t>
            </w:r>
          </w:p>
        </w:tc>
      </w:tr>
      <w:tr w:rsidR="00C65A6F" w:rsidRPr="00C65A6F" w:rsidTr="00721176">
        <w:trPr>
          <w:jc w:val="center"/>
        </w:trPr>
        <w:tc>
          <w:tcPr>
            <w:tcW w:w="4568" w:type="dxa"/>
            <w:vAlign w:val="bottom"/>
          </w:tcPr>
          <w:p w:rsidR="00C65A6F" w:rsidRPr="00C65A6F" w:rsidRDefault="00C65A6F" w:rsidP="00721176">
            <w:pPr>
              <w:spacing w:before="240" w:after="240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721176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721176">
        <w:trPr>
          <w:jc w:val="center"/>
        </w:trPr>
        <w:tc>
          <w:tcPr>
            <w:tcW w:w="4568" w:type="dxa"/>
          </w:tcPr>
          <w:p w:rsidR="00C65A6F" w:rsidRPr="005531A7" w:rsidRDefault="00C65A6F" w:rsidP="00C65A6F">
            <w:pPr>
              <w:spacing w:before="20" w:after="20"/>
              <w:jc w:val="both"/>
              <w:rPr>
                <w:rFonts w:cs="Arial"/>
              </w:rPr>
            </w:pPr>
            <w:r w:rsidRPr="002877FE">
              <w:rPr>
                <w:rFonts w:cs="Arial"/>
                <w:b/>
                <w:bCs/>
                <w:u w:val="single"/>
              </w:rPr>
              <w:t>Schválil:</w:t>
            </w:r>
            <w:r w:rsidR="005531A7">
              <w:rPr>
                <w:rFonts w:cs="Arial"/>
                <w:b/>
                <w:bCs/>
              </w:rPr>
              <w:t xml:space="preserve"> doc. RNDr. Gabriel Semanišin, PhD.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721176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721176">
        <w:trPr>
          <w:jc w:val="center"/>
        </w:trPr>
        <w:tc>
          <w:tcPr>
            <w:tcW w:w="4568" w:type="dxa"/>
          </w:tcPr>
          <w:p w:rsidR="00C65A6F" w:rsidRPr="00C65A6F" w:rsidRDefault="00C65A6F" w:rsidP="00721176">
            <w:pPr>
              <w:spacing w:before="60" w:after="60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5531A7" w:rsidP="00721176">
            <w:pPr>
              <w:spacing w:before="60" w:after="60"/>
              <w:ind w:right="-820"/>
              <w:rPr>
                <w:rFonts w:cs="Arial"/>
              </w:rPr>
            </w:pPr>
            <w:r>
              <w:rPr>
                <w:rFonts w:cs="Arial"/>
              </w:rPr>
              <w:t>Dekan PF UPJŠ</w:t>
            </w:r>
          </w:p>
        </w:tc>
      </w:tr>
      <w:tr w:rsidR="00C65A6F" w:rsidRPr="00C65A6F" w:rsidTr="00721176">
        <w:trPr>
          <w:jc w:val="center"/>
        </w:trPr>
        <w:tc>
          <w:tcPr>
            <w:tcW w:w="4568" w:type="dxa"/>
          </w:tcPr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schválenia: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5531A7" w:rsidP="00721176">
            <w:pPr>
              <w:spacing w:before="120" w:after="120"/>
              <w:ind w:right="-820"/>
              <w:rPr>
                <w:rFonts w:cs="Arial"/>
              </w:rPr>
            </w:pPr>
            <w:r>
              <w:rPr>
                <w:rFonts w:cs="Arial"/>
              </w:rPr>
              <w:t>8.10.2015</w:t>
            </w:r>
            <w:bookmarkStart w:id="0" w:name="_GoBack"/>
            <w:bookmarkEnd w:id="0"/>
          </w:p>
        </w:tc>
      </w:tr>
      <w:tr w:rsidR="00C65A6F" w:rsidRPr="00C65A6F" w:rsidTr="00721176">
        <w:trPr>
          <w:jc w:val="center"/>
        </w:trPr>
        <w:tc>
          <w:tcPr>
            <w:tcW w:w="4568" w:type="dxa"/>
          </w:tcPr>
          <w:p w:rsidR="00C65A6F" w:rsidRPr="00C65A6F" w:rsidRDefault="00C65A6F" w:rsidP="00721176">
            <w:pPr>
              <w:spacing w:before="240" w:after="24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721176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8A54FD" w:rsidRDefault="008A54FD" w:rsidP="005F0BD5"/>
    <w:sectPr w:rsidR="008A54FD" w:rsidSect="0065201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FE" w:rsidRDefault="000A0EFE" w:rsidP="009A7112">
      <w:r>
        <w:separator/>
      </w:r>
    </w:p>
  </w:endnote>
  <w:endnote w:type="continuationSeparator" w:id="0">
    <w:p w:rsidR="000A0EFE" w:rsidRDefault="000A0EFE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EndPr/>
    <w:sdtContent>
      <w:p w:rsidR="000F03E1" w:rsidRDefault="000F03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1A7">
          <w:rPr>
            <w:noProof/>
          </w:rPr>
          <w:t>14</w:t>
        </w:r>
        <w:r>
          <w:fldChar w:fldCharType="end"/>
        </w:r>
      </w:p>
    </w:sdtContent>
  </w:sdt>
  <w:p w:rsidR="000F03E1" w:rsidRDefault="000F0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FE" w:rsidRDefault="000A0EFE" w:rsidP="009A7112">
      <w:r>
        <w:separator/>
      </w:r>
    </w:p>
  </w:footnote>
  <w:footnote w:type="continuationSeparator" w:id="0">
    <w:p w:rsidR="000A0EFE" w:rsidRDefault="000A0EFE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E1" w:rsidRDefault="000F03E1">
    <w:pPr>
      <w:pStyle w:val="Header"/>
    </w:pPr>
    <w:r>
      <w:t>Kód ITMS: 26220220182</w:t>
    </w:r>
  </w:p>
  <w:p w:rsidR="000F03E1" w:rsidRDefault="000F03E1">
    <w:pPr>
      <w:pStyle w:val="Header"/>
    </w:pPr>
  </w:p>
  <w:p w:rsidR="000F03E1" w:rsidRDefault="000F03E1">
    <w:pPr>
      <w:pStyle w:val="Header"/>
    </w:pPr>
  </w:p>
  <w:p w:rsidR="000F03E1" w:rsidRDefault="000F0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E61"/>
    <w:multiLevelType w:val="hybridMultilevel"/>
    <w:tmpl w:val="BA98F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291"/>
    <w:multiLevelType w:val="hybridMultilevel"/>
    <w:tmpl w:val="B9125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309B"/>
    <w:multiLevelType w:val="hybridMultilevel"/>
    <w:tmpl w:val="CD98E8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F3B74"/>
    <w:multiLevelType w:val="hybridMultilevel"/>
    <w:tmpl w:val="EE0AA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476D1"/>
    <w:multiLevelType w:val="hybridMultilevel"/>
    <w:tmpl w:val="01EE6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F5376"/>
    <w:multiLevelType w:val="hybridMultilevel"/>
    <w:tmpl w:val="B3041F26"/>
    <w:lvl w:ilvl="0" w:tplc="47667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1960C2"/>
    <w:multiLevelType w:val="hybridMultilevel"/>
    <w:tmpl w:val="626C5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C0619"/>
    <w:multiLevelType w:val="hybridMultilevel"/>
    <w:tmpl w:val="7CBCC0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851BC"/>
    <w:multiLevelType w:val="hybridMultilevel"/>
    <w:tmpl w:val="AFE21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FD6D6B"/>
    <w:multiLevelType w:val="hybridMultilevel"/>
    <w:tmpl w:val="EB76A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31E4D"/>
    <w:rsid w:val="00072B9D"/>
    <w:rsid w:val="000A0EFE"/>
    <w:rsid w:val="000A79B4"/>
    <w:rsid w:val="000E7542"/>
    <w:rsid w:val="000F03E1"/>
    <w:rsid w:val="001272BD"/>
    <w:rsid w:val="00147445"/>
    <w:rsid w:val="00176EF5"/>
    <w:rsid w:val="0018056B"/>
    <w:rsid w:val="001846EB"/>
    <w:rsid w:val="00197BB2"/>
    <w:rsid w:val="001A3961"/>
    <w:rsid w:val="001C42BD"/>
    <w:rsid w:val="00204800"/>
    <w:rsid w:val="00206D7D"/>
    <w:rsid w:val="0021641B"/>
    <w:rsid w:val="00217CED"/>
    <w:rsid w:val="0023192C"/>
    <w:rsid w:val="00243618"/>
    <w:rsid w:val="002454AD"/>
    <w:rsid w:val="002711CA"/>
    <w:rsid w:val="002877FE"/>
    <w:rsid w:val="002A7B27"/>
    <w:rsid w:val="002F7E3A"/>
    <w:rsid w:val="003105C6"/>
    <w:rsid w:val="003142EF"/>
    <w:rsid w:val="00322E42"/>
    <w:rsid w:val="003243BA"/>
    <w:rsid w:val="003272E8"/>
    <w:rsid w:val="00331EFA"/>
    <w:rsid w:val="0035462B"/>
    <w:rsid w:val="00365918"/>
    <w:rsid w:val="00370C82"/>
    <w:rsid w:val="00373DEC"/>
    <w:rsid w:val="0039448D"/>
    <w:rsid w:val="003D7C31"/>
    <w:rsid w:val="003E740B"/>
    <w:rsid w:val="003F33F6"/>
    <w:rsid w:val="004045FD"/>
    <w:rsid w:val="004074EC"/>
    <w:rsid w:val="00426423"/>
    <w:rsid w:val="00430090"/>
    <w:rsid w:val="00442CAC"/>
    <w:rsid w:val="0045023A"/>
    <w:rsid w:val="004822D7"/>
    <w:rsid w:val="004B4C86"/>
    <w:rsid w:val="004E4BD7"/>
    <w:rsid w:val="005028DD"/>
    <w:rsid w:val="005425C7"/>
    <w:rsid w:val="005531A7"/>
    <w:rsid w:val="00554B04"/>
    <w:rsid w:val="00561E56"/>
    <w:rsid w:val="005E4400"/>
    <w:rsid w:val="005F0BD5"/>
    <w:rsid w:val="005F67B3"/>
    <w:rsid w:val="00647E2E"/>
    <w:rsid w:val="0065201F"/>
    <w:rsid w:val="00654938"/>
    <w:rsid w:val="00656341"/>
    <w:rsid w:val="00680D07"/>
    <w:rsid w:val="00680FE9"/>
    <w:rsid w:val="0069236F"/>
    <w:rsid w:val="006D6EB3"/>
    <w:rsid w:val="006E4A8E"/>
    <w:rsid w:val="00717D64"/>
    <w:rsid w:val="00721176"/>
    <w:rsid w:val="00732F1E"/>
    <w:rsid w:val="00735CA1"/>
    <w:rsid w:val="00737453"/>
    <w:rsid w:val="007434D9"/>
    <w:rsid w:val="00743E23"/>
    <w:rsid w:val="007454CC"/>
    <w:rsid w:val="00755127"/>
    <w:rsid w:val="00763AA8"/>
    <w:rsid w:val="007760B0"/>
    <w:rsid w:val="007873BB"/>
    <w:rsid w:val="00797159"/>
    <w:rsid w:val="007C75FF"/>
    <w:rsid w:val="007E686D"/>
    <w:rsid w:val="0080026A"/>
    <w:rsid w:val="00820125"/>
    <w:rsid w:val="008351BE"/>
    <w:rsid w:val="008A54FD"/>
    <w:rsid w:val="008C54A4"/>
    <w:rsid w:val="008D01A9"/>
    <w:rsid w:val="008E591D"/>
    <w:rsid w:val="00906ABA"/>
    <w:rsid w:val="00915F13"/>
    <w:rsid w:val="009262DA"/>
    <w:rsid w:val="00931EF3"/>
    <w:rsid w:val="00977814"/>
    <w:rsid w:val="0098424B"/>
    <w:rsid w:val="009A7112"/>
    <w:rsid w:val="00A31337"/>
    <w:rsid w:val="00A3560A"/>
    <w:rsid w:val="00A363AC"/>
    <w:rsid w:val="00A54851"/>
    <w:rsid w:val="00A6336F"/>
    <w:rsid w:val="00AC67D9"/>
    <w:rsid w:val="00B00827"/>
    <w:rsid w:val="00B03BE7"/>
    <w:rsid w:val="00B475A3"/>
    <w:rsid w:val="00B53979"/>
    <w:rsid w:val="00B95C2B"/>
    <w:rsid w:val="00BD2B1A"/>
    <w:rsid w:val="00BD6D1D"/>
    <w:rsid w:val="00C11AB2"/>
    <w:rsid w:val="00C322BA"/>
    <w:rsid w:val="00C53CF7"/>
    <w:rsid w:val="00C65A6F"/>
    <w:rsid w:val="00C664DA"/>
    <w:rsid w:val="00C706AA"/>
    <w:rsid w:val="00C7538A"/>
    <w:rsid w:val="00C96A5B"/>
    <w:rsid w:val="00CF0D21"/>
    <w:rsid w:val="00D069D0"/>
    <w:rsid w:val="00D2047B"/>
    <w:rsid w:val="00D62A6B"/>
    <w:rsid w:val="00D70695"/>
    <w:rsid w:val="00D939DF"/>
    <w:rsid w:val="00DB1E9B"/>
    <w:rsid w:val="00DD3B3F"/>
    <w:rsid w:val="00DE13BB"/>
    <w:rsid w:val="00DF7C69"/>
    <w:rsid w:val="00E12A9A"/>
    <w:rsid w:val="00E22E36"/>
    <w:rsid w:val="00E3137C"/>
    <w:rsid w:val="00E3587A"/>
    <w:rsid w:val="00E46773"/>
    <w:rsid w:val="00E54AEF"/>
    <w:rsid w:val="00E62E1B"/>
    <w:rsid w:val="00EA150F"/>
    <w:rsid w:val="00EB1451"/>
    <w:rsid w:val="00EF13F2"/>
    <w:rsid w:val="00F10985"/>
    <w:rsid w:val="00F42BEC"/>
    <w:rsid w:val="00F545F2"/>
    <w:rsid w:val="00F554C8"/>
    <w:rsid w:val="00F5706A"/>
    <w:rsid w:val="00F62CE5"/>
    <w:rsid w:val="00FA4E26"/>
    <w:rsid w:val="00FB7983"/>
    <w:rsid w:val="00FC0DFD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6D7D"/>
    <w:rPr>
      <w:b/>
      <w:bCs/>
      <w:i w:val="0"/>
      <w:iCs w:val="0"/>
    </w:rPr>
  </w:style>
  <w:style w:type="paragraph" w:styleId="NoSpacing">
    <w:name w:val="No Spacing"/>
    <w:uiPriority w:val="1"/>
    <w:qFormat/>
    <w:rsid w:val="00206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TableGrid">
    <w:name w:val="Table Grid"/>
    <w:basedOn w:val="TableNormal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xt poznámky pod čiarou 007"/>
    <w:basedOn w:val="Normal"/>
    <w:link w:val="FootnoteText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65A6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5201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434D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4D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D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6D7D"/>
    <w:rPr>
      <w:b/>
      <w:bCs/>
      <w:i w:val="0"/>
      <w:iCs w:val="0"/>
    </w:rPr>
  </w:style>
  <w:style w:type="paragraph" w:styleId="NoSpacing">
    <w:name w:val="No Spacing"/>
    <w:uiPriority w:val="1"/>
    <w:qFormat/>
    <w:rsid w:val="00206D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TableGrid">
    <w:name w:val="Table Grid"/>
    <w:basedOn w:val="TableNormal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Text poznámky pod čiarou 007"/>
    <w:basedOn w:val="Normal"/>
    <w:link w:val="FootnoteText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Text poznámky pod čiarou 007 Char"/>
    <w:basedOn w:val="DefaultParagraphFont"/>
    <w:link w:val="FootnoteText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65A6F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5201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434D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4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08DC-4663-4422-88F2-F630F6C0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3185</Words>
  <Characters>18161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Jozo</cp:lastModifiedBy>
  <cp:revision>3</cp:revision>
  <cp:lastPrinted>2015-03-10T08:47:00Z</cp:lastPrinted>
  <dcterms:created xsi:type="dcterms:W3CDTF">2015-10-07T19:06:00Z</dcterms:created>
  <dcterms:modified xsi:type="dcterms:W3CDTF">2015-10-07T19:10:00Z</dcterms:modified>
</cp:coreProperties>
</file>