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5" w:rsidRDefault="005F0BD5" w:rsidP="005F0BD5">
      <w:pPr>
        <w:spacing w:before="40" w:after="20"/>
        <w:jc w:val="center"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lang w:eastAsia="sk-SK"/>
        </w:rPr>
        <w:drawing>
          <wp:inline distT="0" distB="0" distL="0" distR="0" wp14:anchorId="15FC9D46" wp14:editId="172A405A">
            <wp:extent cx="942975" cy="800100"/>
            <wp:effectExtent l="0" t="0" r="9525" b="0"/>
            <wp:docPr id="3" name="Obrázok 3" descr="cid:image001.png@01CFAA70.DC100450">
              <a:hlinkClick xmlns:a="http://schemas.openxmlformats.org/drawingml/2006/main" r:id="rId9" tooltip="MŠVVaŠ S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CFAA70.DC100450">
                      <a:hlinkClick r:id="rId9" tooltip="MŠVVaŠ S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B553A1C" wp14:editId="3FA33A69">
            <wp:extent cx="809625" cy="809625"/>
            <wp:effectExtent l="0" t="0" r="9525" b="9525"/>
            <wp:docPr id="2" name="Obrázok 2">
              <a:hlinkClick xmlns:a="http://schemas.openxmlformats.org/drawingml/2006/main" r:id="rId11" tooltip="OP Výskum a vývo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1" tooltip="OP Výskum a vývo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9DADF31" wp14:editId="0CB14AF9">
            <wp:extent cx="876300" cy="809625"/>
            <wp:effectExtent l="0" t="0" r="0" b="9525"/>
            <wp:docPr id="1" name="Obrázok 1">
              <a:hlinkClick xmlns:a="http://schemas.openxmlformats.org/drawingml/2006/main" r:id="rId13" tooltip="Európsky fond regionálneho rozvoj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>
                      <a:hlinkClick r:id="rId13" tooltip="Európsky fond regionálneho rozvoj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D5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A363AC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  <w: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  <w:t>Podporujeme výskumné aktivity na Slovensku/Projekt je spolufinancovaný zo zdrojov EÚ</w:t>
      </w:r>
    </w:p>
    <w:p w:rsidR="005F0BD5" w:rsidRDefault="005F0BD5" w:rsidP="005F0BD5">
      <w:pP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176EF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SPRÁVA O IMPLEM</w:t>
      </w:r>
      <w:r w:rsidR="0024361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E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 xml:space="preserve">NTÁCII PROJEKTU </w:t>
      </w:r>
    </w:p>
    <w:p w:rsidR="005F0BD5" w:rsidRPr="00176EF5" w:rsidRDefault="005F0BD5" w:rsidP="00680FE9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k</w:t>
      </w:r>
      <w:r w:rsidR="00554B04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 30.6</w:t>
      </w:r>
      <w:r w:rsidR="00DF7C6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.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2015</w:t>
      </w: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E4A8E">
      <w:pPr>
        <w:rPr>
          <w:rFonts w:eastAsiaTheme="minorEastAsia"/>
          <w:bCs/>
          <w:iCs/>
          <w:noProof/>
          <w:lang w:eastAsia="sk-SK"/>
        </w:rPr>
      </w:pPr>
    </w:p>
    <w:p w:rsidR="00D70695" w:rsidRDefault="00D7069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C706AA" w:rsidRDefault="00C706AA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Pr="00176EF5" w:rsidRDefault="00176EF5" w:rsidP="002877FE">
      <w:pPr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5F0BD5" w:rsidRDefault="002877FE" w:rsidP="005F0BD5">
      <w:pPr>
        <w:rPr>
          <w:rFonts w:eastAsiaTheme="minorEastAsia"/>
          <w:bCs/>
          <w:iCs/>
          <w:noProof/>
          <w:lang w:eastAsia="sk-SK"/>
        </w:rPr>
      </w:pPr>
      <w:r w:rsidRPr="002877FE">
        <w:rPr>
          <w:rFonts w:eastAsiaTheme="minorEastAsia"/>
          <w:bCs/>
          <w:iCs/>
          <w:noProof/>
          <w:lang w:eastAsia="sk-SK"/>
        </w:rPr>
        <w:t>1.</w:t>
      </w:r>
      <w:r w:rsidR="00D70695">
        <w:rPr>
          <w:rFonts w:eastAsiaTheme="minorEastAsia"/>
          <w:bCs/>
          <w:iCs/>
          <w:noProof/>
          <w:lang w:eastAsia="sk-SK"/>
        </w:rPr>
        <w:t xml:space="preserve"> Základné údaje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Názov projektu </w:t>
            </w:r>
          </w:p>
        </w:tc>
        <w:tc>
          <w:tcPr>
            <w:tcW w:w="7229" w:type="dxa"/>
          </w:tcPr>
          <w:p w:rsidR="005F0BD5" w:rsidRDefault="006D6EB3" w:rsidP="005F0BD5">
            <w:r w:rsidRPr="006D6EB3">
              <w:t>Univerzitný vedecký park TECHNICOM pre inovačné aplikácie s podporou znalostných technológií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ITMS projektu </w:t>
            </w:r>
          </w:p>
        </w:tc>
        <w:tc>
          <w:tcPr>
            <w:tcW w:w="7229" w:type="dxa"/>
          </w:tcPr>
          <w:p w:rsidR="005F0BD5" w:rsidRDefault="00442CAC" w:rsidP="005F0BD5">
            <w:r>
              <w:t>26220220182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výzvy </w:t>
            </w:r>
          </w:p>
        </w:tc>
        <w:tc>
          <w:tcPr>
            <w:tcW w:w="7229" w:type="dxa"/>
          </w:tcPr>
          <w:p w:rsidR="005F0BD5" w:rsidRDefault="00442CAC" w:rsidP="005F0BD5">
            <w:r>
              <w:t>OPVaV-2012/2.2/08-RO</w:t>
            </w:r>
          </w:p>
        </w:tc>
      </w:tr>
      <w:tr w:rsidR="00D70695" w:rsidTr="003272E8">
        <w:tc>
          <w:tcPr>
            <w:tcW w:w="3261" w:type="dxa"/>
            <w:shd w:val="clear" w:color="auto" w:fill="9BD4F9" w:themeFill="background2" w:themeFillShade="E6"/>
          </w:tcPr>
          <w:p w:rsidR="00D70695" w:rsidRPr="00176EF5" w:rsidRDefault="00D70695" w:rsidP="005F0BD5">
            <w:pPr>
              <w:rPr>
                <w:b/>
              </w:rPr>
            </w:pPr>
            <w:r>
              <w:rPr>
                <w:b/>
              </w:rPr>
              <w:t xml:space="preserve">Výška NFP </w:t>
            </w:r>
          </w:p>
        </w:tc>
        <w:tc>
          <w:tcPr>
            <w:tcW w:w="7229" w:type="dxa"/>
          </w:tcPr>
          <w:p w:rsidR="00D70695" w:rsidRDefault="0080026A" w:rsidP="005F0BD5">
            <w:r w:rsidRPr="0080026A">
              <w:t>39</w:t>
            </w:r>
            <w:r>
              <w:t> </w:t>
            </w:r>
            <w:r w:rsidRPr="0080026A">
              <w:t>648</w:t>
            </w:r>
            <w:r>
              <w:t xml:space="preserve"> </w:t>
            </w:r>
            <w:r w:rsidRPr="0080026A">
              <w:t>903,64</w:t>
            </w:r>
            <w:r>
              <w:t xml:space="preserve"> EUR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Číslo zmluvy o poskytnutí NFP </w:t>
            </w:r>
          </w:p>
        </w:tc>
        <w:tc>
          <w:tcPr>
            <w:tcW w:w="7229" w:type="dxa"/>
          </w:tcPr>
          <w:p w:rsidR="005F0BD5" w:rsidRDefault="0080026A" w:rsidP="005F0BD5">
            <w:r>
              <w:t>OPVaV/8/2013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Prijímateľ </w:t>
            </w:r>
          </w:p>
        </w:tc>
        <w:tc>
          <w:tcPr>
            <w:tcW w:w="7229" w:type="dxa"/>
          </w:tcPr>
          <w:p w:rsidR="005F0BD5" w:rsidRDefault="0080026A" w:rsidP="005F0BD5">
            <w:r w:rsidRPr="0080026A">
              <w:t>Technická univerzita v Košiciach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4822D7" w:rsidP="005F0BD5">
            <w:pPr>
              <w:rPr>
                <w:b/>
              </w:rPr>
            </w:pPr>
            <w:r>
              <w:rPr>
                <w:b/>
              </w:rPr>
              <w:t>Partner 1</w:t>
            </w:r>
          </w:p>
        </w:tc>
        <w:tc>
          <w:tcPr>
            <w:tcW w:w="7229" w:type="dxa"/>
          </w:tcPr>
          <w:p w:rsidR="005F0BD5" w:rsidRDefault="00DF7C69" w:rsidP="005F0BD5">
            <w:r w:rsidRPr="00DF7C69">
              <w:t>Univerzita Pavla Jozefa Šafárika v Košiciach</w:t>
            </w:r>
          </w:p>
        </w:tc>
      </w:tr>
      <w:tr w:rsidR="004822D7" w:rsidTr="003272E8">
        <w:tc>
          <w:tcPr>
            <w:tcW w:w="3261" w:type="dxa"/>
            <w:shd w:val="clear" w:color="auto" w:fill="9BD4F9" w:themeFill="background2" w:themeFillShade="E6"/>
          </w:tcPr>
          <w:p w:rsidR="004822D7" w:rsidRDefault="004822D7" w:rsidP="005F0BD5">
            <w:pPr>
              <w:rPr>
                <w:b/>
              </w:rPr>
            </w:pPr>
            <w:r>
              <w:rPr>
                <w:b/>
              </w:rPr>
              <w:t>Partner 2</w:t>
            </w:r>
          </w:p>
        </w:tc>
        <w:tc>
          <w:tcPr>
            <w:tcW w:w="7229" w:type="dxa"/>
          </w:tcPr>
          <w:p w:rsidR="004822D7" w:rsidRDefault="00DF7C69" w:rsidP="005F0BD5">
            <w:r w:rsidRPr="00DF7C69">
              <w:t>Prešovská univerzita v Prešove</w:t>
            </w:r>
          </w:p>
        </w:tc>
      </w:tr>
    </w:tbl>
    <w:p w:rsidR="002877FE" w:rsidRDefault="002877FE" w:rsidP="005F0BD5"/>
    <w:p w:rsidR="00E3137C" w:rsidRDefault="00E3137C" w:rsidP="005F0BD5"/>
    <w:p w:rsidR="00204800" w:rsidRDefault="00204800" w:rsidP="005F0BD5"/>
    <w:p w:rsidR="006E4A8E" w:rsidRDefault="006E4A8E" w:rsidP="005F0BD5"/>
    <w:p w:rsidR="0065201F" w:rsidRDefault="0065201F" w:rsidP="0065201F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2. </w:t>
      </w:r>
      <w:r w:rsidR="00365918">
        <w:rPr>
          <w:rFonts w:eastAsiaTheme="minorEastAsia"/>
          <w:bCs/>
          <w:iCs/>
          <w:noProof/>
          <w:lang w:eastAsia="sk-SK"/>
        </w:rPr>
        <w:t>Vecný pokrok v realizácii</w:t>
      </w:r>
      <w:r>
        <w:rPr>
          <w:rFonts w:eastAsiaTheme="minorEastAsia"/>
          <w:bCs/>
          <w:iCs/>
          <w:noProof/>
          <w:lang w:eastAsia="sk-SK"/>
        </w:rPr>
        <w:t xml:space="preserve"> aktivít</w:t>
      </w:r>
      <w:r w:rsidR="00365918">
        <w:rPr>
          <w:rFonts w:eastAsiaTheme="minorEastAsia"/>
          <w:bCs/>
          <w:iCs/>
          <w:noProof/>
          <w:lang w:eastAsia="sk-SK"/>
        </w:rPr>
        <w:t xml:space="preserve"> projektu </w:t>
      </w:r>
      <w:r>
        <w:rPr>
          <w:rFonts w:eastAsiaTheme="minorEastAsia"/>
          <w:bCs/>
          <w:iCs/>
          <w:noProof/>
          <w:lang w:eastAsia="sk-SK"/>
        </w:rPr>
        <w:t xml:space="preserve"> </w:t>
      </w:r>
      <w:r w:rsidR="00365918">
        <w:rPr>
          <w:rFonts w:eastAsiaTheme="minorEastAsia"/>
          <w:bCs/>
          <w:iCs/>
          <w:noProof/>
          <w:lang w:eastAsia="sk-SK"/>
        </w:rPr>
        <w:t>a rizikové oblasti</w:t>
      </w:r>
      <w:r>
        <w:rPr>
          <w:rFonts w:eastAsiaTheme="minorEastAsia"/>
          <w:bCs/>
          <w:iCs/>
          <w:noProof/>
          <w:lang w:eastAsia="sk-SK"/>
        </w:rPr>
        <w:t xml:space="preserve">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2404"/>
        <w:gridCol w:w="8608"/>
      </w:tblGrid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EA150F" w:rsidRDefault="0065201F" w:rsidP="003272E8">
            <w:pPr>
              <w:ind w:left="-709" w:firstLine="709"/>
              <w:jc w:val="center"/>
              <w:rPr>
                <w:b/>
                <w:vertAlign w:val="superscript"/>
              </w:rPr>
            </w:pP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>Vecn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ý pokrok v realizácii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aktivít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projektu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a rizikové oblasti</w:t>
            </w:r>
            <w:r w:rsidR="00EA150F"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1</w:t>
            </w:r>
          </w:p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B53979">
            <w:r w:rsidRPr="006D6EB3">
              <w:t>Aktivita 1.1 Etablovanie UVP TECHNICOM v súlade s adekvátnymi princípmi vedeckého manažmentu.</w:t>
            </w:r>
          </w:p>
          <w:p w:rsidR="00E12A9A" w:rsidRPr="00E12A9A" w:rsidRDefault="00E12A9A" w:rsidP="00B53979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>
            <w:pPr>
              <w:rPr>
                <w:u w:val="single"/>
              </w:rPr>
            </w:pPr>
          </w:p>
          <w:p w:rsidR="0065201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647E2E" w:rsidRPr="00204800">
              <w:rPr>
                <w:u w:val="single"/>
              </w:rPr>
              <w:t>osiahnuté výsledky aktivity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EA150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="00647E2E" w:rsidRPr="00204800">
              <w:rPr>
                <w:u w:val="single"/>
              </w:rPr>
              <w:t>izikové oblasti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647E2E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647E2E" w:rsidRPr="00204800">
              <w:rPr>
                <w:u w:val="single"/>
              </w:rPr>
              <w:t>k je realizácia aktivít v omeškaní, je potrebné uviesť dôvody omeškania a aké boli prijaté opatrenia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1.2 Metodická, odborná a realizačná podpora riešenia predkladaného projektu</w:t>
            </w:r>
          </w:p>
          <w:p w:rsidR="00E12A9A" w:rsidRDefault="00E12A9A" w:rsidP="005F0BD5">
            <w:r w:rsidRPr="00E12A9A">
              <w:t xml:space="preserve">(PhDr. Branislav </w:t>
            </w:r>
            <w:proofErr w:type="spellStart"/>
            <w:r w:rsidRPr="00E12A9A">
              <w:t>Bonk</w:t>
            </w:r>
            <w:proofErr w:type="spellEnd"/>
            <w:r w:rsidRPr="00E12A9A"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1.3 Príprava a zabezpečenie služieb pre udržateľný chod UVP TECHNICOM</w:t>
            </w:r>
          </w:p>
          <w:p w:rsidR="00E12A9A" w:rsidRDefault="00E12A9A" w:rsidP="005F0BD5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2.1. Vybudovanie stavebných objektov a príslušnej infraštruktúry v areáli TUKE</w:t>
            </w:r>
          </w:p>
          <w:p w:rsidR="00E12A9A" w:rsidRDefault="00E12A9A" w:rsidP="005F0BD5">
            <w:r w:rsidRPr="00E12A9A">
              <w:t xml:space="preserve">(Ing. Marcel </w:t>
            </w:r>
            <w:proofErr w:type="spellStart"/>
            <w:r w:rsidRPr="00E12A9A">
              <w:t>Behún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S</w:t>
            </w:r>
            <w:r w:rsidR="00717D64" w:rsidRPr="00204800">
              <w:rPr>
                <w:u w:val="single"/>
              </w:rPr>
              <w:t>účasný stav verejného obstarávania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EA150F" w:rsidRP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stavebných činnostiach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755127" w:rsidRDefault="00755127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P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  <w:p w:rsidR="00E12A9A" w:rsidRDefault="00E12A9A" w:rsidP="005F0BD5">
            <w:r w:rsidRPr="00E12A9A">
              <w:t>(Ing. Martin Chovanec,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dodaní tovarov a</w:t>
            </w:r>
            <w:r w:rsidRPr="00204800">
              <w:rPr>
                <w:u w:val="single"/>
              </w:rPr>
              <w:t> </w:t>
            </w:r>
            <w:r w:rsidR="00647E2E" w:rsidRPr="00204800">
              <w:rPr>
                <w:u w:val="single"/>
              </w:rPr>
              <w:t>služieb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2.3 Nadstavba, zateplenie a modernizácia časti UVP TECHNICOM na Jesennej 5 v</w:t>
            </w:r>
            <w:r w:rsidR="00E12A9A">
              <w:t> </w:t>
            </w:r>
            <w:r w:rsidRPr="006D6EB3">
              <w:t>Košiciach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77631A" w:rsidRDefault="0077631A" w:rsidP="0077631A">
            <w:r>
              <w:t xml:space="preserve">V mesiaci </w:t>
            </w:r>
            <w:r w:rsidR="003A7B45">
              <w:t>jún</w:t>
            </w:r>
            <w:r>
              <w:t xml:space="preserve"> bol</w:t>
            </w:r>
            <w:r w:rsidR="003A7B45">
              <w:t>a</w:t>
            </w:r>
            <w:r>
              <w:t xml:space="preserve"> </w:t>
            </w:r>
            <w:r w:rsidR="003A7B45">
              <w:t xml:space="preserve">dokončená väčšina </w:t>
            </w:r>
            <w:r>
              <w:t>búrac</w:t>
            </w:r>
            <w:r w:rsidR="003A7B45">
              <w:t xml:space="preserve">ích </w:t>
            </w:r>
            <w:r w:rsidR="00454E9A">
              <w:t xml:space="preserve">a murárskych </w:t>
            </w:r>
            <w:r w:rsidR="003A7B45">
              <w:t>prác. Bola dokončená stavebná príprava na montáž elektroinštalácie, štruktúrovanej kabeláže, prístupového systému, systému kontroly vstupu</w:t>
            </w:r>
            <w:r w:rsidR="00454E9A">
              <w:t>,</w:t>
            </w:r>
            <w:r w:rsidR="003A7B45">
              <w:t> kamerového systému</w:t>
            </w:r>
            <w:r w:rsidR="00454E9A">
              <w:t xml:space="preserve"> a vzduchotechniky</w:t>
            </w:r>
            <w:r w:rsidR="003A7B45">
              <w:t xml:space="preserve">. </w:t>
            </w:r>
            <w:r w:rsidR="0092439F">
              <w:t>Na 1.NP boli odštartované práce na natiahnutí omietok. Ďalej bolo realizované kompletné natiahnutie rozvodov pre prístupový systém, systém kontroly vstupu a kamerový systém.</w:t>
            </w:r>
            <w:r w:rsidR="00454E9A">
              <w:t xml:space="preserve"> Boli vykonané práce spojené so stavebnou pripravenosťou na montáž rozvádzačov kúrenia a izolácie podláh. Zhotoviteľ </w:t>
            </w:r>
            <w:proofErr w:type="spellStart"/>
            <w:r w:rsidR="00454E9A">
              <w:t>zazmluvnil</w:t>
            </w:r>
            <w:proofErr w:type="spellEnd"/>
            <w:r w:rsidR="00454E9A">
              <w:t xml:space="preserve"> subdodávateľa oceľovej konštrukcie a bol objednaný materiál na realizáciu</w:t>
            </w:r>
            <w:r w:rsidR="00DC54AB">
              <w:t xml:space="preserve"> konštrukcie nadstavby.</w:t>
            </w:r>
          </w:p>
          <w:p w:rsidR="00DC54AB" w:rsidRDefault="00DC54AB" w:rsidP="00204800">
            <w:pPr>
              <w:rPr>
                <w:u w:val="single"/>
              </w:rPr>
            </w:pPr>
          </w:p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  <w:r w:rsidR="003A7B45" w:rsidRPr="003A7B45">
              <w:t xml:space="preserve"> VO je ukončené</w:t>
            </w:r>
          </w:p>
          <w:p w:rsidR="00204800" w:rsidRDefault="00204800" w:rsidP="005F0BD5"/>
          <w:p w:rsidR="00204800" w:rsidRPr="00DC54AB" w:rsidRDefault="00204800" w:rsidP="00204800">
            <w:pPr>
              <w:rPr>
                <w:u w:val="single"/>
                <w:lang w:val="en-US"/>
              </w:rPr>
            </w:pPr>
            <w:r w:rsidRPr="00204800">
              <w:rPr>
                <w:u w:val="single"/>
              </w:rPr>
              <w:t>Pokrok v stavebných činnostiach:</w:t>
            </w:r>
            <w:r w:rsidR="003A7B45">
              <w:rPr>
                <w:u w:val="single"/>
              </w:rPr>
              <w:t xml:space="preserve"> </w:t>
            </w:r>
            <w:r w:rsidR="00DC54AB" w:rsidRPr="00DC54AB">
              <w:t>Pokračuje realizácia stavebných činností</w:t>
            </w:r>
            <w:r w:rsidR="00DC54AB">
              <w:t>. Presnejší popis je v časti „Vecný pokrok“ vyššie.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3A7B45" w:rsidRPr="003A7B45">
              <w:t xml:space="preserve"> </w:t>
            </w:r>
            <w:r w:rsidR="00DC54AB">
              <w:t>N</w:t>
            </w:r>
            <w:r w:rsidR="003A7B45" w:rsidRPr="003A7B45">
              <w:t>edodržanie harmonogramu prác</w:t>
            </w:r>
            <w:r w:rsidR="00DC54AB">
              <w:t>. Problém s dodávkou fasádneho obkladu. Podľa vyjadrení dodávateľa zrejme nebude možné dodať požadované množstvo fasádneho obkladu v termíne, ktorý by umožnil ukončenie stavebných prác pred koncom projektu.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3A7B45" w:rsidRPr="003A7B45">
              <w:t xml:space="preserve"> Zhotoviteľ bol upozornený aby </w:t>
            </w:r>
            <w:proofErr w:type="spellStart"/>
            <w:r w:rsidR="003A7B45" w:rsidRPr="003A7B45">
              <w:t>zazmluvnil</w:t>
            </w:r>
            <w:proofErr w:type="spellEnd"/>
            <w:r w:rsidR="003A7B45" w:rsidRPr="003A7B45">
              <w:t xml:space="preserve"> subdodávateľov a predložil ich zoznam.</w:t>
            </w:r>
            <w:r w:rsidR="0073299C">
              <w:t xml:space="preserve"> Zhotoviteľ bol vyzvaný na vyriešenie problému s fasádnym obkladom v spolupráci s projektantom.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2.4  Vybavenie UVP TECHNICOM Jesenná 5 infraštruktúrou potrebnou k realizácii aplikovaného výskumu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400EAF" w:rsidRPr="00400EAF" w:rsidRDefault="00204800" w:rsidP="00400EAF"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  <w:r w:rsidR="00400EAF">
              <w:rPr>
                <w:u w:val="single"/>
              </w:rPr>
              <w:t xml:space="preserve"> </w:t>
            </w:r>
            <w:r w:rsidR="00400EAF" w:rsidRPr="00400EAF">
              <w:t xml:space="preserve">V mesiaci </w:t>
            </w:r>
            <w:r w:rsidR="00400EAF">
              <w:t xml:space="preserve">jún </w:t>
            </w:r>
            <w:r w:rsidR="00400EAF" w:rsidRPr="00400EAF">
              <w:t xml:space="preserve">boli dodané zariadenia v celkovej hodnote </w:t>
            </w:r>
            <w:r w:rsidR="00400EAF">
              <w:t>25</w:t>
            </w:r>
            <w:r w:rsidR="00400EAF" w:rsidRPr="00400EAF">
              <w:t xml:space="preserve"> </w:t>
            </w:r>
            <w:r w:rsidR="00400EAF">
              <w:t>104</w:t>
            </w:r>
            <w:r w:rsidR="00400EAF" w:rsidRPr="00400EAF">
              <w:t>,- Eur. Išlo o tieto zariadenia:</w:t>
            </w:r>
            <w:r w:rsidR="00956981">
              <w:t xml:space="preserve"> </w:t>
            </w:r>
            <w:proofErr w:type="spellStart"/>
            <w:r w:rsidR="00956981">
              <w:t>multikanálový</w:t>
            </w:r>
            <w:proofErr w:type="spellEnd"/>
            <w:r w:rsidR="00956981">
              <w:t xml:space="preserve"> digitálny zvukový procesor – RME </w:t>
            </w:r>
            <w:proofErr w:type="spellStart"/>
            <w:r w:rsidR="00956981">
              <w:t>Fireface</w:t>
            </w:r>
            <w:proofErr w:type="spellEnd"/>
            <w:r w:rsidR="00956981">
              <w:t xml:space="preserve"> UFX, mobilné zariadenia – Samsung </w:t>
            </w:r>
            <w:proofErr w:type="spellStart"/>
            <w:r w:rsidR="00956981">
              <w:t>Galaxy</w:t>
            </w:r>
            <w:proofErr w:type="spellEnd"/>
            <w:r w:rsidR="00956981">
              <w:t xml:space="preserve"> S4, výskumné vnútroušné slúchadlá s príslušenstvom – </w:t>
            </w:r>
            <w:proofErr w:type="spellStart"/>
            <w:r w:rsidR="00956981">
              <w:t>Etymotic</w:t>
            </w:r>
            <w:proofErr w:type="spellEnd"/>
            <w:r w:rsidR="00956981">
              <w:t xml:space="preserve"> </w:t>
            </w:r>
            <w:proofErr w:type="spellStart"/>
            <w:r w:rsidR="00956981">
              <w:t>researcher</w:t>
            </w:r>
            <w:proofErr w:type="spellEnd"/>
            <w:r w:rsidR="00956981">
              <w:t xml:space="preserve"> ER-1, VGA karta </w:t>
            </w:r>
            <w:proofErr w:type="spellStart"/>
            <w:r w:rsidR="00956981">
              <w:t>pr</w:t>
            </w:r>
            <w:proofErr w:type="spellEnd"/>
            <w:r w:rsidR="00956981">
              <w:t xml:space="preserve"> e4 monitory, IP telefóny – Cisco SPA 509G, wi-fi AP – Cisco AIR-CAP3502I-E-K9, echo mikrofón – </w:t>
            </w:r>
            <w:proofErr w:type="spellStart"/>
            <w:r w:rsidR="00956981">
              <w:t>Phoenix</w:t>
            </w:r>
            <w:proofErr w:type="spellEnd"/>
            <w:r w:rsidR="00956981">
              <w:t xml:space="preserve"> </w:t>
            </w:r>
            <w:proofErr w:type="spellStart"/>
            <w:r w:rsidR="00956981">
              <w:t>Quattro</w:t>
            </w:r>
            <w:proofErr w:type="spellEnd"/>
            <w:r w:rsidR="00956981">
              <w:t xml:space="preserve"> 3 BS</w:t>
            </w:r>
            <w:r w:rsidR="00400EAF" w:rsidRPr="00400EAF">
              <w:t>.</w:t>
            </w:r>
          </w:p>
          <w:p w:rsidR="00204800" w:rsidRPr="00400EAF" w:rsidRDefault="00400EAF" w:rsidP="00400EAF">
            <w:r w:rsidRPr="00400EAF">
              <w:t>Dodávateľovi boli zaslané ďalšie objednávky na dodávku IKT.</w:t>
            </w:r>
          </w:p>
          <w:p w:rsidR="00204800" w:rsidRDefault="00204800" w:rsidP="00717D64"/>
          <w:p w:rsidR="00204800" w:rsidRPr="00907C45" w:rsidRDefault="00204800" w:rsidP="00204800">
            <w:r w:rsidRPr="00204800">
              <w:rPr>
                <w:u w:val="single"/>
              </w:rPr>
              <w:t>Súčasný stav verejného obstarávania:</w:t>
            </w:r>
            <w:r w:rsidR="00907C45">
              <w:rPr>
                <w:u w:val="single"/>
              </w:rPr>
              <w:t xml:space="preserve"> </w:t>
            </w:r>
            <w:r w:rsidR="00907C45">
              <w:t>VP je ukončené</w:t>
            </w:r>
          </w:p>
          <w:p w:rsidR="00204800" w:rsidRDefault="00204800" w:rsidP="00647E2E"/>
          <w:p w:rsidR="00204800" w:rsidRPr="00907C45" w:rsidRDefault="00204800" w:rsidP="00204800">
            <w:r w:rsidRPr="00204800">
              <w:rPr>
                <w:u w:val="single"/>
              </w:rPr>
              <w:t>Pokrok v dodaní tovarov a služieb:</w:t>
            </w:r>
            <w:r w:rsidR="00907C45">
              <w:t xml:space="preserve"> </w:t>
            </w:r>
            <w:r w:rsidR="00907C45" w:rsidRPr="00907C45">
              <w:t xml:space="preserve">vystavené ďalšie objednávky, dodané zariadenia v celkovej hodnote </w:t>
            </w:r>
            <w:r w:rsidR="00907C45">
              <w:t>25</w:t>
            </w:r>
            <w:r w:rsidR="00907C45" w:rsidRPr="00907C45">
              <w:t xml:space="preserve"> </w:t>
            </w:r>
            <w:r w:rsidR="00907C45">
              <w:t>104</w:t>
            </w:r>
            <w:r w:rsidR="00907C45" w:rsidRPr="00907C45">
              <w:t>,- €.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907C45" w:rsidRDefault="00204800" w:rsidP="00204800"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</w:t>
            </w:r>
            <w:r w:rsidRPr="00907C45">
              <w:t>:</w:t>
            </w:r>
            <w:r w:rsidR="00907C45" w:rsidRPr="00907C45">
              <w:t xml:space="preserve"> Nedostupnosť špecifikovaných tovarov na trhu v požadovanom množstve. Umiestnenie centrálneho výpočtového uzla je plánované do </w:t>
            </w:r>
            <w:proofErr w:type="spellStart"/>
            <w:r w:rsidR="00907C45" w:rsidRPr="00907C45">
              <w:t>serverovne</w:t>
            </w:r>
            <w:proofErr w:type="spellEnd"/>
            <w:r w:rsidR="00907C45" w:rsidRPr="00907C45">
              <w:t xml:space="preserve"> v  časti budovy kde je plánovaná rekonštrukcia v rámci projektu. </w:t>
            </w:r>
            <w:r w:rsidR="00907C45">
              <w:t xml:space="preserve">Je možné že </w:t>
            </w:r>
            <w:r w:rsidR="00907C45" w:rsidRPr="00907C45">
              <w:t>budeme musieť hľadať alternatívne umiestnenie</w:t>
            </w:r>
            <w:r w:rsidR="00907C45">
              <w:t xml:space="preserve"> ak by stavebné práce nepokračovali podľa harmonogramu</w:t>
            </w:r>
            <w:r w:rsidR="00907C45" w:rsidRPr="00907C45">
              <w:t>.</w:t>
            </w:r>
          </w:p>
          <w:p w:rsidR="00204800" w:rsidRDefault="00204800" w:rsidP="005F0BD5"/>
          <w:p w:rsidR="00204800" w:rsidRPr="00907C45" w:rsidRDefault="00204800" w:rsidP="00204800"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907C45">
              <w:rPr>
                <w:u w:val="single"/>
              </w:rPr>
              <w:t xml:space="preserve"> </w:t>
            </w:r>
            <w:r w:rsidR="00907C45">
              <w:t>Aktivita nie je v omeškaní.</w:t>
            </w:r>
          </w:p>
          <w:p w:rsidR="00EA150F" w:rsidRDefault="00EA150F" w:rsidP="005F0BD5"/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 xml:space="preserve">Aktivita 2.5 Výstavba nových výskumných </w:t>
            </w:r>
            <w:r w:rsidRPr="006D6EB3">
              <w:lastRenderedPageBreak/>
              <w:t xml:space="preserve">priestorov partnera Prešovská univerzita </w:t>
            </w:r>
            <w:r w:rsidR="00E12A9A">
              <w:t>–</w:t>
            </w:r>
            <w:r w:rsidRPr="006D6EB3">
              <w:t xml:space="preserve"> UNIPOLAB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Súčasný stav verejného obstarávania: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2.6  Vybavenie priestorov partnera PU nevyhnutnou prístrojovou, laboratórnou a IKT infraštruktúrou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3.1 Pilotné projekty v odbore  Informačné a komunikačné technológie</w:t>
            </w:r>
          </w:p>
          <w:p w:rsidR="00E12A9A" w:rsidRDefault="00E12A9A" w:rsidP="005F0BD5">
            <w:r w:rsidRPr="00E12A9A">
              <w:t>(doc. Ing. František Jakab,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5F0BD5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3.2 Pilotné projekty v odbore Elektrotechnika, automatizácia a riadiace systémy</w:t>
            </w:r>
          </w:p>
          <w:p w:rsidR="00E12A9A" w:rsidRDefault="00E12A9A" w:rsidP="005F0BD5">
            <w:r w:rsidRPr="00E12A9A">
              <w:t xml:space="preserve">(prof. Ing. </w:t>
            </w:r>
            <w:proofErr w:type="spellStart"/>
            <w:r w:rsidRPr="00E12A9A">
              <w:t>AlenaPietriková</w:t>
            </w:r>
            <w:proofErr w:type="spellEnd"/>
            <w:r w:rsidRPr="00E12A9A">
              <w:t>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3.3 Pilotné projekty v odbore Strojárstvo</w:t>
            </w:r>
          </w:p>
          <w:p w:rsidR="00E12A9A" w:rsidRDefault="00E12A9A" w:rsidP="005F0BD5">
            <w:r w:rsidRPr="00E12A9A">
              <w:t>(</w:t>
            </w:r>
            <w:proofErr w:type="spellStart"/>
            <w:r w:rsidRPr="00E12A9A">
              <w:t>Dr.h.c.prof.Ing.Miroslav</w:t>
            </w:r>
            <w:proofErr w:type="spellEnd"/>
            <w:r w:rsidRPr="00E12A9A">
              <w:t xml:space="preserve"> </w:t>
            </w:r>
            <w:proofErr w:type="spellStart"/>
            <w:r w:rsidRPr="00E12A9A">
              <w:t>Badida</w:t>
            </w:r>
            <w:proofErr w:type="spellEnd"/>
            <w:r w:rsidRPr="00E12A9A">
              <w:t>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647E2E" w:rsidRDefault="00647E2E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3.4 Pilotné projekty v odbore Stavebné inžinierstvo</w:t>
            </w:r>
          </w:p>
          <w:p w:rsidR="00E12A9A" w:rsidRDefault="00E12A9A" w:rsidP="005F0BD5">
            <w:r w:rsidRPr="00E12A9A">
              <w:t>(prof. Ing. Stanislav Kmeť,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 w:rsidR="0018056B"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3.5 Pilotné projekty v odbore Environmentálne inžinierstvo</w:t>
            </w:r>
          </w:p>
          <w:p w:rsidR="00E12A9A" w:rsidRPr="006D6EB3" w:rsidRDefault="00E12A9A" w:rsidP="005F0BD5">
            <w:r w:rsidRPr="00E12A9A">
              <w:t>(doc. Ing.  Ján Spišák,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3.6.  Pilotné projekty UPJŠ v odbore Informačné a komunikačné technológie</w:t>
            </w:r>
          </w:p>
          <w:p w:rsidR="00E12A9A" w:rsidRPr="006D6EB3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4A3691" w:rsidRPr="0077631A" w:rsidRDefault="004A3691" w:rsidP="004A3691">
            <w:pPr>
              <w:rPr>
                <w:b/>
              </w:rPr>
            </w:pPr>
            <w:r w:rsidRPr="0077631A">
              <w:rPr>
                <w:b/>
              </w:rPr>
              <w:t>PP 1. Aplikovaný výskum v oblasti paralelného a distribuovaného počítania:</w:t>
            </w:r>
          </w:p>
          <w:p w:rsidR="00F841E0" w:rsidRDefault="00951A22" w:rsidP="00F841E0">
            <w:pPr>
              <w:pStyle w:val="Odsekzoznamu"/>
              <w:numPr>
                <w:ilvl w:val="0"/>
                <w:numId w:val="6"/>
              </w:numPr>
            </w:pPr>
            <w:r w:rsidRPr="00951A22">
              <w:t>Dosiah</w:t>
            </w:r>
            <w:r w:rsidR="00F841E0">
              <w:t>nutý</w:t>
            </w:r>
            <w:r w:rsidRPr="00951A22">
              <w:t xml:space="preserve"> výrazný pokrok v oblasti informovania a školenia nových </w:t>
            </w:r>
            <w:r w:rsidR="00F841E0" w:rsidRPr="00951A22">
              <w:t>užívateľov</w:t>
            </w:r>
            <w:r w:rsidRPr="00951A22">
              <w:t xml:space="preserve"> </w:t>
            </w:r>
            <w:proofErr w:type="spellStart"/>
            <w:r w:rsidRPr="00951A22">
              <w:t>gridového</w:t>
            </w:r>
            <w:proofErr w:type="spellEnd"/>
            <w:r w:rsidRPr="00951A22">
              <w:t xml:space="preserve"> ARC softvéru</w:t>
            </w:r>
            <w:r w:rsidR="00F841E0">
              <w:t>.</w:t>
            </w:r>
          </w:p>
          <w:p w:rsidR="00F841E0" w:rsidRDefault="00951A22" w:rsidP="00F841E0">
            <w:pPr>
              <w:pStyle w:val="Odsekzoznamu"/>
              <w:numPr>
                <w:ilvl w:val="0"/>
                <w:numId w:val="6"/>
              </w:numPr>
            </w:pPr>
            <w:r w:rsidRPr="00951A22">
              <w:t>odovzda</w:t>
            </w:r>
            <w:r w:rsidR="00F841E0">
              <w:t>nie</w:t>
            </w:r>
            <w:r w:rsidRPr="00951A22">
              <w:t xml:space="preserve"> semestráln</w:t>
            </w:r>
            <w:r w:rsidR="00F841E0">
              <w:t>ych</w:t>
            </w:r>
            <w:r w:rsidRPr="00951A22">
              <w:t xml:space="preserve"> projekt</w:t>
            </w:r>
            <w:r w:rsidR="00F841E0">
              <w:t>ov</w:t>
            </w:r>
            <w:r w:rsidRPr="00951A22">
              <w:t>, kde bol využitý produkčný EGI certifikovaný uzol.</w:t>
            </w:r>
          </w:p>
          <w:p w:rsidR="004A3691" w:rsidRDefault="00F841E0" w:rsidP="00F841E0">
            <w:pPr>
              <w:pStyle w:val="Odsekzoznamu"/>
              <w:numPr>
                <w:ilvl w:val="0"/>
                <w:numId w:val="6"/>
              </w:numPr>
            </w:pPr>
            <w:r>
              <w:t xml:space="preserve">Odštartovanie </w:t>
            </w:r>
            <w:r w:rsidR="00951A22" w:rsidRPr="00951A22">
              <w:t>úvodn</w:t>
            </w:r>
            <w:r>
              <w:t>ých</w:t>
            </w:r>
            <w:r w:rsidR="00951A22" w:rsidRPr="00951A22">
              <w:t xml:space="preserve"> aktiv</w:t>
            </w:r>
            <w:r>
              <w:t>ít</w:t>
            </w:r>
            <w:r w:rsidR="00951A22" w:rsidRPr="00951A22">
              <w:t xml:space="preserve"> pre vybudovanie </w:t>
            </w:r>
            <w:proofErr w:type="spellStart"/>
            <w:r w:rsidR="00951A22" w:rsidRPr="00951A22">
              <w:t>cl</w:t>
            </w:r>
            <w:r>
              <w:t>o</w:t>
            </w:r>
            <w:r w:rsidR="00951A22" w:rsidRPr="00951A22">
              <w:t>udového</w:t>
            </w:r>
            <w:proofErr w:type="spellEnd"/>
            <w:r w:rsidR="00951A22" w:rsidRPr="00951A22">
              <w:t xml:space="preserve"> testovacieho uzla pre potreby aplikovaného výskumu.</w:t>
            </w:r>
          </w:p>
          <w:p w:rsidR="00951A22" w:rsidRDefault="00951A22" w:rsidP="004A3691"/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>PP 2. Vývoj nástrojov a metód pre virtuálnu kolaboráciu:</w:t>
            </w:r>
          </w:p>
          <w:p w:rsidR="00EA760B" w:rsidRDefault="004A3691" w:rsidP="004A3691">
            <w:pPr>
              <w:pStyle w:val="Odsekzoznamu"/>
              <w:numPr>
                <w:ilvl w:val="0"/>
                <w:numId w:val="2"/>
              </w:numPr>
            </w:pPr>
            <w:r>
              <w:t>Prvá ALFA verzia softvérového riešenia konverzie textu do reálneho videa.</w:t>
            </w:r>
          </w:p>
          <w:p w:rsidR="00EA760B" w:rsidRDefault="004A3691" w:rsidP="004A3691">
            <w:pPr>
              <w:pStyle w:val="Odsekzoznamu"/>
              <w:numPr>
                <w:ilvl w:val="0"/>
                <w:numId w:val="2"/>
              </w:numPr>
            </w:pPr>
            <w:r>
              <w:t xml:space="preserve">Vylepšenie mobilných klientov pre </w:t>
            </w:r>
            <w:proofErr w:type="spellStart"/>
            <w:r>
              <w:t>iOS</w:t>
            </w:r>
            <w:proofErr w:type="spellEnd"/>
            <w:r>
              <w:t xml:space="preserve"> a </w:t>
            </w:r>
            <w:proofErr w:type="spellStart"/>
            <w:r>
              <w:t>Andriod</w:t>
            </w:r>
            <w:proofErr w:type="spellEnd"/>
            <w:r>
              <w:t xml:space="preserve"> – opravy chýb.</w:t>
            </w:r>
          </w:p>
          <w:p w:rsidR="004A3691" w:rsidRDefault="004A3691" w:rsidP="004A3691">
            <w:pPr>
              <w:pStyle w:val="Odsekzoznamu"/>
              <w:numPr>
                <w:ilvl w:val="0"/>
                <w:numId w:val="2"/>
              </w:numPr>
            </w:pPr>
            <w:r>
              <w:t>Vylepšenie ALFA verzie univerzálneho prehrávača.</w:t>
            </w:r>
          </w:p>
          <w:p w:rsidR="004A3691" w:rsidRDefault="004A3691" w:rsidP="004A3691"/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 xml:space="preserve">PP 3. Výskum v oblasti inovatívnych interakcií </w:t>
            </w:r>
            <w:proofErr w:type="spellStart"/>
            <w:r w:rsidRPr="00EA760B">
              <w:rPr>
                <w:b/>
              </w:rPr>
              <w:t>človek-počítač</w:t>
            </w:r>
            <w:proofErr w:type="spellEnd"/>
            <w:r w:rsidRPr="00EA760B">
              <w:rPr>
                <w:b/>
              </w:rPr>
              <w:t>:</w:t>
            </w:r>
          </w:p>
          <w:p w:rsidR="004A3691" w:rsidRDefault="009A212B" w:rsidP="009A212B">
            <w:pPr>
              <w:pStyle w:val="Odsekzoznamu"/>
              <w:numPr>
                <w:ilvl w:val="0"/>
                <w:numId w:val="4"/>
              </w:numPr>
            </w:pPr>
            <w:r>
              <w:t xml:space="preserve">Pokra4uj[ca </w:t>
            </w:r>
            <w:r w:rsidR="001B5E90" w:rsidRPr="001B5E90">
              <w:t xml:space="preserve"> integrácia do svetových vedeckých centier aj posilňovanie </w:t>
            </w:r>
            <w:proofErr w:type="spellStart"/>
            <w:r w:rsidR="001B5E90" w:rsidRPr="001B5E90">
              <w:t>neurokognitívneho</w:t>
            </w:r>
            <w:proofErr w:type="spellEnd"/>
            <w:r w:rsidR="001B5E90" w:rsidRPr="001B5E90">
              <w:t xml:space="preserve"> výskumu na UPJŠ.</w:t>
            </w:r>
          </w:p>
          <w:p w:rsidR="001B5E90" w:rsidRDefault="001B5E90" w:rsidP="004A3691"/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>PP 4. Vývoj informačných systémov pre podporu riadenia vzdelávania, vedy a výskumu:</w:t>
            </w:r>
          </w:p>
          <w:p w:rsidR="009A212B" w:rsidRDefault="002F02C7" w:rsidP="009A212B">
            <w:pPr>
              <w:pStyle w:val="Odsekzoznamu"/>
              <w:numPr>
                <w:ilvl w:val="0"/>
                <w:numId w:val="4"/>
              </w:numPr>
            </w:pPr>
            <w:r w:rsidRPr="002F02C7">
              <w:t>Rozšír</w:t>
            </w:r>
            <w:r w:rsidR="009A212B">
              <w:t xml:space="preserve">enie </w:t>
            </w:r>
            <w:r w:rsidRPr="002F02C7">
              <w:t>proces</w:t>
            </w:r>
            <w:r w:rsidR="009A212B">
              <w:t>u</w:t>
            </w:r>
            <w:r w:rsidRPr="002F02C7">
              <w:t xml:space="preserve"> hodnotenia záverečnej práce </w:t>
            </w:r>
            <w:r w:rsidR="009A212B">
              <w:t xml:space="preserve">a </w:t>
            </w:r>
            <w:r w:rsidRPr="002F02C7">
              <w:t>tvorby štruktúrovaných posud</w:t>
            </w:r>
            <w:r w:rsidR="009A212B">
              <w:t>kov.</w:t>
            </w:r>
          </w:p>
          <w:p w:rsidR="009A212B" w:rsidRDefault="009A212B" w:rsidP="009A212B">
            <w:pPr>
              <w:pStyle w:val="Odsekzoznamu"/>
              <w:numPr>
                <w:ilvl w:val="0"/>
                <w:numId w:val="4"/>
              </w:numPr>
            </w:pPr>
            <w:r>
              <w:t xml:space="preserve">Pridanie </w:t>
            </w:r>
            <w:r w:rsidR="002F02C7" w:rsidRPr="002F02C7">
              <w:t>možnos</w:t>
            </w:r>
            <w:r>
              <w:t>ti</w:t>
            </w:r>
            <w:r w:rsidR="002F02C7" w:rsidRPr="002F02C7">
              <w:t xml:space="preserve"> uznania štátnej s</w:t>
            </w:r>
            <w:r>
              <w:t>kúšky z predchádzajúceho štúdia</w:t>
            </w:r>
          </w:p>
          <w:p w:rsidR="005570F6" w:rsidRDefault="002F02C7" w:rsidP="009A212B">
            <w:pPr>
              <w:pStyle w:val="Odsekzoznamu"/>
              <w:numPr>
                <w:ilvl w:val="0"/>
                <w:numId w:val="4"/>
              </w:numPr>
            </w:pPr>
            <w:r w:rsidRPr="002F02C7">
              <w:t>Vytvor</w:t>
            </w:r>
            <w:r w:rsidR="009A212B">
              <w:t xml:space="preserve">enie </w:t>
            </w:r>
            <w:r w:rsidRPr="002F02C7">
              <w:t>nov</w:t>
            </w:r>
            <w:r w:rsidR="009A212B">
              <w:t>ej</w:t>
            </w:r>
            <w:r w:rsidRPr="002F02C7">
              <w:t xml:space="preserve"> spoločn</w:t>
            </w:r>
            <w:r w:rsidR="009A212B">
              <w:t>ej</w:t>
            </w:r>
            <w:r w:rsidRPr="002F02C7">
              <w:t xml:space="preserve"> štruktúr</w:t>
            </w:r>
            <w:r w:rsidR="009A212B">
              <w:t>y</w:t>
            </w:r>
            <w:r w:rsidRPr="002F02C7">
              <w:t xml:space="preserve"> pre dátové zdroje </w:t>
            </w:r>
            <w:r w:rsidR="005570F6">
              <w:t>a </w:t>
            </w:r>
            <w:r w:rsidRPr="002F02C7">
              <w:t>reporty</w:t>
            </w:r>
          </w:p>
          <w:p w:rsidR="005570F6" w:rsidRDefault="002F02C7" w:rsidP="009A212B">
            <w:pPr>
              <w:pStyle w:val="Odsekzoznamu"/>
              <w:numPr>
                <w:ilvl w:val="0"/>
                <w:numId w:val="4"/>
              </w:numPr>
            </w:pPr>
            <w:r w:rsidRPr="002F02C7">
              <w:t>Zjednot</w:t>
            </w:r>
            <w:r w:rsidR="005570F6">
              <w:t xml:space="preserve">enie </w:t>
            </w:r>
            <w:r w:rsidRPr="002F02C7">
              <w:t>dátov</w:t>
            </w:r>
            <w:r w:rsidR="005570F6">
              <w:t xml:space="preserve">ých </w:t>
            </w:r>
            <w:r w:rsidRPr="002F02C7">
              <w:t>zdroj</w:t>
            </w:r>
            <w:r w:rsidR="005570F6">
              <w:t>ov z</w:t>
            </w:r>
            <w:r w:rsidRPr="002F02C7">
              <w:t xml:space="preserve"> jednotlivých inštalácií</w:t>
            </w:r>
            <w:r w:rsidR="005570F6">
              <w:t>.</w:t>
            </w:r>
          </w:p>
          <w:p w:rsidR="005570F6" w:rsidRDefault="002F02C7" w:rsidP="009A212B">
            <w:pPr>
              <w:pStyle w:val="Odsekzoznamu"/>
              <w:numPr>
                <w:ilvl w:val="0"/>
                <w:numId w:val="4"/>
              </w:numPr>
            </w:pPr>
            <w:r w:rsidRPr="002F02C7">
              <w:t>Uprav</w:t>
            </w:r>
            <w:r w:rsidR="005570F6">
              <w:t xml:space="preserve">ené </w:t>
            </w:r>
            <w:r w:rsidRPr="002F02C7">
              <w:t>vyhľadávanie osôb</w:t>
            </w:r>
            <w:r w:rsidR="005570F6">
              <w:t>.</w:t>
            </w:r>
          </w:p>
          <w:p w:rsidR="002F02C7" w:rsidRDefault="002F02C7" w:rsidP="009A212B">
            <w:pPr>
              <w:pStyle w:val="Odsekzoznamu"/>
              <w:numPr>
                <w:ilvl w:val="0"/>
                <w:numId w:val="4"/>
              </w:numPr>
            </w:pPr>
            <w:r w:rsidRPr="002F02C7">
              <w:lastRenderedPageBreak/>
              <w:t>Spracova</w:t>
            </w:r>
            <w:r w:rsidR="005570F6">
              <w:t>nie a </w:t>
            </w:r>
            <w:r w:rsidRPr="002F02C7">
              <w:t>lad</w:t>
            </w:r>
            <w:r w:rsidR="005570F6">
              <w:t xml:space="preserve">enie </w:t>
            </w:r>
            <w:r w:rsidRPr="002F02C7">
              <w:t xml:space="preserve">výkonnosti aplikácií AiS2 na základe analýzy často vykonávaných </w:t>
            </w:r>
            <w:r w:rsidR="005570F6">
              <w:t>dotazov</w:t>
            </w:r>
            <w:r w:rsidRPr="002F02C7">
              <w:t>.</w:t>
            </w:r>
          </w:p>
          <w:p w:rsidR="004A3691" w:rsidRDefault="004A3691" w:rsidP="004A3691"/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>PP 5. Výskum v oblasti reprezentácie a analýzy dát:</w:t>
            </w:r>
          </w:p>
          <w:p w:rsidR="00EA760B" w:rsidRDefault="005570F6" w:rsidP="002A0EC5">
            <w:pPr>
              <w:pStyle w:val="Odsekzoznamu"/>
              <w:numPr>
                <w:ilvl w:val="0"/>
                <w:numId w:val="3"/>
              </w:numPr>
            </w:pPr>
            <w:r>
              <w:t>I</w:t>
            </w:r>
            <w:r w:rsidR="002A0EC5">
              <w:t xml:space="preserve">mplementácia </w:t>
            </w:r>
            <w:proofErr w:type="spellStart"/>
            <w:r w:rsidR="002A0EC5">
              <w:t>crawlovacích</w:t>
            </w:r>
            <w:proofErr w:type="spellEnd"/>
            <w:r w:rsidR="002A0EC5">
              <w:t xml:space="preserve"> a extrakčných nástrojov na získavanie podujatí pre "turistický odporúčací systém"</w:t>
            </w:r>
            <w:r>
              <w:t>.</w:t>
            </w:r>
          </w:p>
          <w:p w:rsidR="004A3691" w:rsidRDefault="005570F6" w:rsidP="002A0EC5">
            <w:pPr>
              <w:pStyle w:val="Odsekzoznamu"/>
              <w:numPr>
                <w:ilvl w:val="0"/>
                <w:numId w:val="3"/>
              </w:numPr>
            </w:pPr>
            <w:r>
              <w:t>I</w:t>
            </w:r>
            <w:r w:rsidR="002A0EC5">
              <w:t xml:space="preserve">mplementácia metódy automatického uloženia a spracovania </w:t>
            </w:r>
            <w:proofErr w:type="spellStart"/>
            <w:r w:rsidR="002A0EC5">
              <w:t>xtrahovaných</w:t>
            </w:r>
            <w:proofErr w:type="spellEnd"/>
            <w:r w:rsidR="002A0EC5">
              <w:t xml:space="preserve"> komentárov produktov a implementácia a testovanie metódy</w:t>
            </w:r>
            <w:r w:rsidR="00EA760B">
              <w:t xml:space="preserve"> </w:t>
            </w:r>
            <w:r w:rsidR="002A0EC5">
              <w:t>na anotáciu hodnôt atribútov s jednotkami a so zamlčanými jednotkami pre</w:t>
            </w:r>
            <w:r w:rsidR="00EA760B">
              <w:t xml:space="preserve"> </w:t>
            </w:r>
            <w:r w:rsidR="002A0EC5">
              <w:t>čiastkový výstup "</w:t>
            </w:r>
            <w:proofErr w:type="spellStart"/>
            <w:r w:rsidR="002A0EC5">
              <w:t>Metakatalóg</w:t>
            </w:r>
            <w:proofErr w:type="spellEnd"/>
            <w:r w:rsidR="002A0EC5">
              <w:t xml:space="preserve"> produktov internetových obchodov"</w:t>
            </w:r>
            <w:r>
              <w:t>.</w:t>
            </w:r>
          </w:p>
          <w:p w:rsidR="002A0EC5" w:rsidRDefault="002A0EC5" w:rsidP="004A3691"/>
          <w:p w:rsidR="00204800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 xml:space="preserve">PP 6. Výskum a vývoj metód </w:t>
            </w:r>
            <w:proofErr w:type="spellStart"/>
            <w:r w:rsidRPr="00EA760B">
              <w:rPr>
                <w:b/>
              </w:rPr>
              <w:t>geoprocessingu</w:t>
            </w:r>
            <w:proofErr w:type="spellEnd"/>
            <w:r w:rsidRPr="00EA760B">
              <w:rPr>
                <w:b/>
              </w:rPr>
              <w:t xml:space="preserve"> v </w:t>
            </w:r>
            <w:proofErr w:type="spellStart"/>
            <w:r w:rsidRPr="00EA760B">
              <w:rPr>
                <w:b/>
              </w:rPr>
              <w:t>geopriestorových</w:t>
            </w:r>
            <w:proofErr w:type="spellEnd"/>
            <w:r w:rsidRPr="00EA760B">
              <w:rPr>
                <w:b/>
              </w:rPr>
              <w:t xml:space="preserve"> </w:t>
            </w:r>
            <w:proofErr w:type="spellStart"/>
            <w:r w:rsidRPr="00EA760B">
              <w:rPr>
                <w:b/>
              </w:rPr>
              <w:t>technológiach</w:t>
            </w:r>
            <w:proofErr w:type="spellEnd"/>
            <w:r w:rsidRPr="00EA760B">
              <w:rPr>
                <w:b/>
              </w:rPr>
              <w:t xml:space="preserve"> a </w:t>
            </w:r>
            <w:proofErr w:type="spellStart"/>
            <w:r w:rsidRPr="00EA760B">
              <w:rPr>
                <w:b/>
              </w:rPr>
              <w:t>službach</w:t>
            </w:r>
            <w:proofErr w:type="spellEnd"/>
            <w:r w:rsidRPr="00EA760B">
              <w:rPr>
                <w:b/>
              </w:rPr>
              <w:t>:</w:t>
            </w:r>
          </w:p>
          <w:p w:rsidR="005570F6" w:rsidRDefault="005570F6" w:rsidP="005570F6">
            <w:pPr>
              <w:pStyle w:val="Odsekzoznamu"/>
              <w:numPr>
                <w:ilvl w:val="0"/>
                <w:numId w:val="5"/>
              </w:numPr>
            </w:pPr>
            <w:r>
              <w:t>T</w:t>
            </w:r>
            <w:r w:rsidR="002A0EC5" w:rsidRPr="00EA760B">
              <w:t>estovan</w:t>
            </w:r>
            <w:r>
              <w:t>ie</w:t>
            </w:r>
            <w:r w:rsidR="002A0EC5" w:rsidRPr="00EA760B">
              <w:t xml:space="preserve"> postup</w:t>
            </w:r>
            <w:r>
              <w:t>ov</w:t>
            </w:r>
            <w:r w:rsidR="002A0EC5" w:rsidRPr="00EA760B">
              <w:t xml:space="preserve"> pre aplikáciu </w:t>
            </w:r>
            <w:proofErr w:type="spellStart"/>
            <w:r w:rsidR="002A0EC5" w:rsidRPr="00EA760B">
              <w:t>terestrického</w:t>
            </w:r>
            <w:proofErr w:type="spellEnd"/>
            <w:r w:rsidR="002A0EC5" w:rsidRPr="00EA760B">
              <w:t xml:space="preserve"> laserového skenera na cvičných údajoch</w:t>
            </w:r>
            <w:r>
              <w:t>.</w:t>
            </w:r>
          </w:p>
          <w:p w:rsidR="005570F6" w:rsidRDefault="005570F6" w:rsidP="005570F6">
            <w:pPr>
              <w:pStyle w:val="Odsekzoznamu"/>
              <w:numPr>
                <w:ilvl w:val="0"/>
                <w:numId w:val="5"/>
              </w:numPr>
            </w:pPr>
            <w:r>
              <w:t>R</w:t>
            </w:r>
            <w:r w:rsidR="002A0EC5" w:rsidRPr="00EA760B">
              <w:t>ealiz</w:t>
            </w:r>
            <w:r>
              <w:t xml:space="preserve">ácia </w:t>
            </w:r>
            <w:r w:rsidR="002A0EC5" w:rsidRPr="00EA760B">
              <w:t xml:space="preserve">modifikácie zdrojových kódov </w:t>
            </w:r>
            <w:proofErr w:type="spellStart"/>
            <w:r w:rsidR="002A0EC5" w:rsidRPr="00EA760B">
              <w:t>open-source</w:t>
            </w:r>
            <w:proofErr w:type="spellEnd"/>
            <w:r w:rsidR="002A0EC5" w:rsidRPr="00EA760B">
              <w:t xml:space="preserve"> programov pre </w:t>
            </w:r>
            <w:proofErr w:type="spellStart"/>
            <w:r w:rsidR="002A0EC5" w:rsidRPr="00EA760B">
              <w:t>paralelizáciu</w:t>
            </w:r>
            <w:proofErr w:type="spellEnd"/>
            <w:r w:rsidR="002A0EC5" w:rsidRPr="00EA760B">
              <w:t xml:space="preserve"> výpočtov.</w:t>
            </w:r>
          </w:p>
          <w:p w:rsidR="001B5E90" w:rsidRPr="00EA760B" w:rsidRDefault="002A0EC5" w:rsidP="005570F6">
            <w:pPr>
              <w:pStyle w:val="Odsekzoznamu"/>
              <w:numPr>
                <w:ilvl w:val="0"/>
                <w:numId w:val="5"/>
              </w:numPr>
            </w:pPr>
            <w:r w:rsidRPr="00EA760B">
              <w:t>Pokračujú práce na príprave katalógu máp.</w:t>
            </w:r>
          </w:p>
          <w:p w:rsidR="002A0EC5" w:rsidRDefault="002A0EC5" w:rsidP="0018056B">
            <w:pPr>
              <w:rPr>
                <w:u w:val="single"/>
              </w:rPr>
            </w:pPr>
          </w:p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4A3691" w:rsidRDefault="004A3691" w:rsidP="004A3691"/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>PP 1. Aplikovaný výskum v oblasti paralelného a distribuovaného počítania:</w:t>
            </w:r>
          </w:p>
          <w:p w:rsidR="004A3691" w:rsidRDefault="00F841E0" w:rsidP="004A3691">
            <w:r w:rsidRPr="00F841E0">
              <w:t xml:space="preserve">Dosiahol sa výrazný pokrok v oblasti informovania a školenia nových </w:t>
            </w:r>
            <w:proofErr w:type="spellStart"/>
            <w:r w:rsidRPr="00F841E0">
              <w:t>užívatelov</w:t>
            </w:r>
            <w:proofErr w:type="spellEnd"/>
            <w:r w:rsidRPr="00F841E0">
              <w:t xml:space="preserve"> </w:t>
            </w:r>
            <w:proofErr w:type="spellStart"/>
            <w:r w:rsidRPr="00F841E0">
              <w:t>gridového</w:t>
            </w:r>
            <w:proofErr w:type="spellEnd"/>
            <w:r w:rsidRPr="00F841E0">
              <w:t xml:space="preserve"> ARC softvéru. Dvaja študenti magisterského štúdia z Prírodovedeckej fakulty UPJŠ odovzdali semestrálne projekty letný semester 2014/2015, kde bol využitý produkčný EGI certifikovaný uzol.  Začali sa úvodné aktivity pre vybudovanie </w:t>
            </w:r>
            <w:proofErr w:type="spellStart"/>
            <w:r w:rsidRPr="00F841E0">
              <w:t>claudového</w:t>
            </w:r>
            <w:proofErr w:type="spellEnd"/>
            <w:r w:rsidRPr="00F841E0">
              <w:t xml:space="preserve"> testovacieho uzla pre potreby aplikovaného výskumu.</w:t>
            </w:r>
          </w:p>
          <w:p w:rsidR="00F841E0" w:rsidRDefault="00F841E0" w:rsidP="00F841E0">
            <w:r>
              <w:t xml:space="preserve">Výsledky projektu boli prezentované na medzinárodnej konferencii </w:t>
            </w:r>
            <w:proofErr w:type="spellStart"/>
            <w:r>
              <w:t>Nordugrid</w:t>
            </w:r>
            <w:proofErr w:type="spellEnd"/>
            <w:r>
              <w:t xml:space="preserve"> 2015 a domácom mítingu WLCG T2 mítingu (viď. nižšie).</w:t>
            </w:r>
            <w:r>
              <w:t xml:space="preserve"> </w:t>
            </w:r>
            <w:r>
              <w:t xml:space="preserve">Zúčastnili sme sa Technického mítingu a konferencie </w:t>
            </w:r>
            <w:proofErr w:type="spellStart"/>
            <w:r>
              <w:t>Nordugrid</w:t>
            </w:r>
            <w:proofErr w:type="spellEnd"/>
            <w:r>
              <w:t xml:space="preserve"> 2015 2.-5. 6. 2015 Bern, Švajčiarsko (Ing. Jozef Černák, PhD., RNDr. Marek Kočan a Ing. Eva Černáková).</w:t>
            </w:r>
            <w:r>
              <w:t xml:space="preserve"> </w:t>
            </w:r>
            <w:r>
              <w:t xml:space="preserve">Začali sa práce spojené s vybudovaním </w:t>
            </w:r>
            <w:proofErr w:type="spellStart"/>
            <w:r>
              <w:t>claudového</w:t>
            </w:r>
            <w:proofErr w:type="spellEnd"/>
            <w:r>
              <w:t xml:space="preserve"> testovacieho uzla.</w:t>
            </w:r>
            <w:r>
              <w:t xml:space="preserve"> </w:t>
            </w:r>
            <w:r>
              <w:t>Udržiavali sme EGI výpočtový uzol v prevádzke.</w:t>
            </w:r>
            <w:r>
              <w:t xml:space="preserve"> </w:t>
            </w:r>
            <w:r>
              <w:t xml:space="preserve">Vykonali sme dodatočné testy pre “Bug 3473 - </w:t>
            </w:r>
            <w:proofErr w:type="spellStart"/>
            <w:r>
              <w:t>A-rex</w:t>
            </w:r>
            <w:proofErr w:type="spellEnd"/>
            <w:r>
              <w:t xml:space="preserve"> </w:t>
            </w:r>
            <w:proofErr w:type="spellStart"/>
            <w:r>
              <w:t>crashes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input</w:t>
            </w:r>
            <w:proofErr w:type="spellEnd"/>
            <w:r>
              <w:t>/</w:t>
            </w:r>
            <w:proofErr w:type="spellStart"/>
            <w:r>
              <w:t>output</w:t>
            </w:r>
            <w:proofErr w:type="spellEnd"/>
            <w:r>
              <w:t xml:space="preserve"> </w:t>
            </w:r>
            <w:proofErr w:type="spellStart"/>
            <w:r>
              <w:t>jobs</w:t>
            </w:r>
            <w:proofErr w:type="spellEnd"/>
            <w:r>
              <w:t xml:space="preserve"> </w:t>
            </w:r>
            <w:proofErr w:type="spellStart"/>
            <w:r>
              <w:t>handling</w:t>
            </w:r>
            <w:proofErr w:type="spellEnd"/>
            <w:r>
              <w:t>”</w:t>
            </w:r>
            <w:r>
              <w:t>.</w:t>
            </w:r>
          </w:p>
          <w:p w:rsidR="004A3691" w:rsidRDefault="004A3691" w:rsidP="004A3691"/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>PP 2. Vývoj nástrojov a metód pre virtuálnu kolaboráciu:</w:t>
            </w:r>
          </w:p>
          <w:p w:rsidR="001B5E90" w:rsidRDefault="001B5E90" w:rsidP="001B5E90">
            <w:r>
              <w:t xml:space="preserve">Pokračujeme v spolupráci s parterom z USA na vývoji </w:t>
            </w:r>
            <w:proofErr w:type="spellStart"/>
            <w:r>
              <w:t>SeeVogh</w:t>
            </w:r>
            <w:proofErr w:type="spellEnd"/>
            <w:r>
              <w:t>/</w:t>
            </w:r>
            <w:proofErr w:type="spellStart"/>
            <w:r>
              <w:t>ViewMe</w:t>
            </w:r>
            <w:proofErr w:type="spellEnd"/>
            <w:r>
              <w:t xml:space="preserve"> systému. </w:t>
            </w:r>
          </w:p>
          <w:p w:rsidR="004A3691" w:rsidRDefault="001B5E90" w:rsidP="001B5E90">
            <w:r>
              <w:t xml:space="preserve">Dokončili sme prvú ALFA verziu </w:t>
            </w:r>
            <w:proofErr w:type="spellStart"/>
            <w:r>
              <w:t>video-transkodéra</w:t>
            </w:r>
            <w:proofErr w:type="spellEnd"/>
            <w:r>
              <w:t xml:space="preserve"> so softvérovým riešením novej funkcie konverzie textu do videa aj s možnosťou </w:t>
            </w:r>
            <w:r w:rsidR="00576122">
              <w:t>transparentného</w:t>
            </w:r>
            <w:r>
              <w:t xml:space="preserve"> zobrazenia textu v kódovanom videu. Momentálne prebiehajú záťažové testy </w:t>
            </w:r>
            <w:proofErr w:type="spellStart"/>
            <w:r>
              <w:t>video-transkodéra</w:t>
            </w:r>
            <w:proofErr w:type="spellEnd"/>
            <w:r>
              <w:t xml:space="preserve"> s touto novou funkciou na Panda serveri a odlaďovanie nájdených chýb.</w:t>
            </w:r>
            <w:r w:rsidR="00576122">
              <w:t xml:space="preserve"> </w:t>
            </w:r>
            <w:r>
              <w:t xml:space="preserve">Ďalej sme vylepšili mobilné aplikácie </w:t>
            </w:r>
            <w:proofErr w:type="spellStart"/>
            <w:r>
              <w:t>iOS</w:t>
            </w:r>
            <w:proofErr w:type="spellEnd"/>
            <w:r>
              <w:t>/</w:t>
            </w:r>
            <w:proofErr w:type="spellStart"/>
            <w:r>
              <w:t>Android</w:t>
            </w:r>
            <w:proofErr w:type="spellEnd"/>
            <w:r>
              <w:t>, pričom sme opravili viacero chýb. Vylepšili sme synchronizáciu zvuku a videa v ALFA verzii univerzálneho prehrávača štandardných súborov a vyriešili sme problém s prehrávaním VOB súborov.</w:t>
            </w:r>
          </w:p>
          <w:p w:rsidR="001B5E90" w:rsidRDefault="001B5E90" w:rsidP="004A3691">
            <w:pPr>
              <w:rPr>
                <w:lang w:val="en-US"/>
              </w:rPr>
            </w:pPr>
          </w:p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 xml:space="preserve">PP 3. Výskum v oblasti inovatívnych interakcií </w:t>
            </w:r>
            <w:proofErr w:type="spellStart"/>
            <w:r w:rsidRPr="00EA760B">
              <w:rPr>
                <w:b/>
              </w:rPr>
              <w:t>človek-počítač</w:t>
            </w:r>
            <w:proofErr w:type="spellEnd"/>
            <w:r w:rsidRPr="00EA760B">
              <w:rPr>
                <w:b/>
              </w:rPr>
              <w:t>:</w:t>
            </w:r>
          </w:p>
          <w:p w:rsidR="002F02C7" w:rsidRDefault="001B5E90" w:rsidP="002F02C7">
            <w:r>
              <w:t xml:space="preserve">Úspešné oživenie a zber experimentálnych dát použitím EEG zariadenia na UPJŠ a na Boston </w:t>
            </w:r>
            <w:proofErr w:type="spellStart"/>
            <w:r>
              <w:t>University</w:t>
            </w:r>
            <w:proofErr w:type="spellEnd"/>
            <w:r>
              <w:t>.</w:t>
            </w:r>
            <w:r w:rsidR="00EA760B">
              <w:t xml:space="preserve"> </w:t>
            </w:r>
            <w:r>
              <w:t>Práca na článku o učení sa nových fonetických kategórií</w:t>
            </w:r>
            <w:r w:rsidR="00EA760B">
              <w:t xml:space="preserve">. </w:t>
            </w:r>
            <w:r>
              <w:t xml:space="preserve">Príprava nového grantu s </w:t>
            </w:r>
            <w:proofErr w:type="spellStart"/>
            <w:r>
              <w:t>Harvard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a Boston </w:t>
            </w:r>
            <w:proofErr w:type="spellStart"/>
            <w:r>
              <w:t>University</w:t>
            </w:r>
            <w:proofErr w:type="spellEnd"/>
            <w:r w:rsidR="00EA760B">
              <w:t xml:space="preserve">. </w:t>
            </w:r>
            <w:r w:rsidR="00576122">
              <w:t>P</w:t>
            </w:r>
            <w:r w:rsidR="002F02C7">
              <w:t>okra</w:t>
            </w:r>
            <w:r w:rsidR="00576122">
              <w:t xml:space="preserve">čovali sme </w:t>
            </w:r>
            <w:r w:rsidR="002F02C7">
              <w:t xml:space="preserve">v rozvoji </w:t>
            </w:r>
            <w:r w:rsidR="00576122">
              <w:t>zobrazovacích</w:t>
            </w:r>
            <w:r w:rsidR="002F02C7">
              <w:t xml:space="preserve"> techn</w:t>
            </w:r>
            <w:r w:rsidR="00576122">
              <w:t>í</w:t>
            </w:r>
            <w:r w:rsidR="002F02C7">
              <w:t xml:space="preserve">k v </w:t>
            </w:r>
            <w:r w:rsidR="00576122">
              <w:t>biomedicínskej</w:t>
            </w:r>
            <w:r w:rsidR="002F02C7">
              <w:t xml:space="preserve"> oblasti, </w:t>
            </w:r>
            <w:r w:rsidR="00576122">
              <w:t>konkrétne</w:t>
            </w:r>
            <w:r w:rsidR="002F02C7">
              <w:t xml:space="preserve"> v</w:t>
            </w:r>
            <w:r w:rsidR="00576122">
              <w:t xml:space="preserve"> príprave </w:t>
            </w:r>
            <w:r w:rsidR="002F02C7">
              <w:t>spolo</w:t>
            </w:r>
            <w:r w:rsidR="00576122">
              <w:t>č</w:t>
            </w:r>
            <w:r w:rsidR="002F02C7">
              <w:t xml:space="preserve">nej firmy s univerzitou (SAFTRA </w:t>
            </w:r>
            <w:proofErr w:type="spellStart"/>
            <w:r w:rsidR="002F02C7">
              <w:t>Imagine</w:t>
            </w:r>
            <w:proofErr w:type="spellEnd"/>
            <w:r w:rsidR="002F02C7">
              <w:t xml:space="preserve">) na </w:t>
            </w:r>
            <w:proofErr w:type="spellStart"/>
            <w:r w:rsidR="002F02C7">
              <w:t>dvedenie</w:t>
            </w:r>
            <w:proofErr w:type="spellEnd"/>
            <w:r w:rsidR="00576122">
              <w:t xml:space="preserve"> </w:t>
            </w:r>
            <w:r w:rsidR="002F02C7">
              <w:t xml:space="preserve">idey </w:t>
            </w:r>
            <w:proofErr w:type="spellStart"/>
            <w:r w:rsidR="002F02C7">
              <w:t>kontrastovac</w:t>
            </w:r>
            <w:r w:rsidR="00576122">
              <w:t>í</w:t>
            </w:r>
            <w:r w:rsidR="002F02C7">
              <w:t>ch</w:t>
            </w:r>
            <w:proofErr w:type="spellEnd"/>
            <w:r w:rsidR="002F02C7">
              <w:t xml:space="preserve"> </w:t>
            </w:r>
            <w:r w:rsidR="00576122">
              <w:t>látok</w:t>
            </w:r>
            <w:r w:rsidR="002F02C7">
              <w:t xml:space="preserve"> pre </w:t>
            </w:r>
            <w:r w:rsidR="00576122">
              <w:t>chirurgické</w:t>
            </w:r>
            <w:r w:rsidR="002F02C7">
              <w:t xml:space="preserve"> </w:t>
            </w:r>
            <w:r w:rsidR="00576122">
              <w:t>výkony</w:t>
            </w:r>
            <w:r w:rsidR="002F02C7">
              <w:t xml:space="preserve"> GI traktu do </w:t>
            </w:r>
            <w:r w:rsidR="00576122">
              <w:t>aplikačnej</w:t>
            </w:r>
            <w:r w:rsidR="002F02C7">
              <w:t xml:space="preserve"> </w:t>
            </w:r>
            <w:r w:rsidR="00576122">
              <w:t>finálnej</w:t>
            </w:r>
            <w:r w:rsidR="002F02C7">
              <w:t xml:space="preserve"> formy</w:t>
            </w:r>
            <w:r w:rsidR="00576122">
              <w:t>. Ď</w:t>
            </w:r>
            <w:r w:rsidR="002F02C7">
              <w:t xml:space="preserve">alej pracujeme na </w:t>
            </w:r>
            <w:r w:rsidR="00576122">
              <w:t>zdokonalení</w:t>
            </w:r>
            <w:r w:rsidR="002F02C7">
              <w:t xml:space="preserve"> </w:t>
            </w:r>
            <w:r w:rsidR="00576122">
              <w:t>prípravy</w:t>
            </w:r>
            <w:r w:rsidR="002F02C7">
              <w:t xml:space="preserve"> aj vyhodnocovania </w:t>
            </w:r>
            <w:r w:rsidR="00576122">
              <w:t>zobrazovacích</w:t>
            </w:r>
            <w:r w:rsidR="002F02C7">
              <w:t xml:space="preserve"> </w:t>
            </w:r>
            <w:r w:rsidR="002F02C7">
              <w:lastRenderedPageBreak/>
              <w:t xml:space="preserve">experimentov </w:t>
            </w:r>
            <w:r w:rsidR="00576122">
              <w:t>biologických</w:t>
            </w:r>
            <w:r w:rsidR="002F02C7">
              <w:t xml:space="preserve"> vzoriek v tvrdej </w:t>
            </w:r>
            <w:proofErr w:type="spellStart"/>
            <w:r w:rsidR="002F02C7">
              <w:t>r</w:t>
            </w:r>
            <w:r w:rsidR="00576122">
              <w:t>ö</w:t>
            </w:r>
            <w:r w:rsidR="002F02C7">
              <w:t>ntgenovskej</w:t>
            </w:r>
            <w:proofErr w:type="spellEnd"/>
            <w:r w:rsidR="002F02C7">
              <w:t xml:space="preserve"> oblasti v </w:t>
            </w:r>
            <w:proofErr w:type="spellStart"/>
            <w:r w:rsidR="002F02C7">
              <w:t>mezoskopiclej</w:t>
            </w:r>
            <w:proofErr w:type="spellEnd"/>
            <w:r w:rsidR="002F02C7">
              <w:t xml:space="preserve"> skale pre </w:t>
            </w:r>
            <w:proofErr w:type="spellStart"/>
            <w:r w:rsidR="002F02C7">
              <w:t>realtimov</w:t>
            </w:r>
            <w:r w:rsidR="00576122">
              <w:t>é</w:t>
            </w:r>
            <w:proofErr w:type="spellEnd"/>
            <w:r w:rsidR="002F02C7">
              <w:t xml:space="preserve"> </w:t>
            </w:r>
            <w:r w:rsidR="00576122">
              <w:t>použitie</w:t>
            </w:r>
            <w:r w:rsidR="002F02C7">
              <w:t xml:space="preserve"> ako aj </w:t>
            </w:r>
            <w:r w:rsidR="00576122">
              <w:t>hľadáme</w:t>
            </w:r>
            <w:r w:rsidR="002F02C7">
              <w:t xml:space="preserve"> </w:t>
            </w:r>
            <w:r w:rsidR="00576122">
              <w:t>praktické aplikácie</w:t>
            </w:r>
            <w:r w:rsidR="002F02C7">
              <w:t xml:space="preserve"> pre tuto novu </w:t>
            </w:r>
            <w:r w:rsidR="00576122">
              <w:t>generáciu</w:t>
            </w:r>
            <w:r w:rsidR="002F02C7">
              <w:t xml:space="preserve"> </w:t>
            </w:r>
            <w:r w:rsidR="00576122">
              <w:t>zobrazovacích</w:t>
            </w:r>
            <w:r w:rsidR="002F02C7">
              <w:t xml:space="preserve"> techn</w:t>
            </w:r>
            <w:r w:rsidR="00576122">
              <w:t>í</w:t>
            </w:r>
            <w:r w:rsidR="002F02C7">
              <w:t>k.</w:t>
            </w:r>
          </w:p>
          <w:p w:rsidR="002F02C7" w:rsidRDefault="002F02C7" w:rsidP="001B5E90"/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>PP 4. Vývoj informačných systémov pre podporu riadenia vzdelávania, vedy a výskumu:</w:t>
            </w:r>
          </w:p>
          <w:p w:rsidR="002F02C7" w:rsidRDefault="002F02C7" w:rsidP="004A3691">
            <w:r w:rsidRPr="002F02C7">
              <w:t xml:space="preserve">Rozšírili sme proces hodnotenia záverečnej práce tvorby štruktúrovaných posudkov o možnosť vytvorenia jazykových mutácií posudku (hlavne pre potreby zahraničných študentov). Pri hodnotení na štátnych skúškach sme doplnili možnosť uznania štátnej skúšky z predchádzajúceho štúdia (doplnenie nových akcií, úpravy prehľadov a výstupných dokumentov). Vytvorili sme novú spoločnú štruktúru pre dátové zdroje pre reporty a zostavy. Zjednotili sme dátové zdroje z jednotlivých inštalácií, niektoré pospájali, rozšírili, zrušili duplicitné s cieľom použiteľnosti na všetkých inštaláciách. Upravili sme vyhľadávanie osôb (s možnosťou vytvorenia novej) s cieľom znížiť počet vytváraných duplicít osôb. Implementácia obnovenia autentifikačného </w:t>
            </w:r>
            <w:proofErr w:type="spellStart"/>
            <w:r w:rsidRPr="002F02C7">
              <w:t>tokenu</w:t>
            </w:r>
            <w:proofErr w:type="spellEnd"/>
            <w:r w:rsidRPr="002F02C7">
              <w:t xml:space="preserve"> pre nový portál elektronickej prihlášky. Spracovali sme a ladili výkonnosti aplikácií AiS2 na základe analýzy často vykonávaných </w:t>
            </w:r>
            <w:proofErr w:type="spellStart"/>
            <w:r w:rsidRPr="002F02C7">
              <w:t>selektov</w:t>
            </w:r>
            <w:proofErr w:type="spellEnd"/>
            <w:r w:rsidRPr="002F02C7">
              <w:t xml:space="preserve"> zo zalogovaných dát s cieľom optimalizovať určité často vykonávané procesy.</w:t>
            </w:r>
          </w:p>
          <w:p w:rsidR="004A3691" w:rsidRDefault="004A3691" w:rsidP="004A3691"/>
          <w:p w:rsidR="004A3691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>PP 5. Výskum v oblasti reprezentácie a analýzy dát:</w:t>
            </w:r>
          </w:p>
          <w:p w:rsidR="004A3691" w:rsidRDefault="002A0EC5" w:rsidP="002A0EC5">
            <w:r>
              <w:t xml:space="preserve">Pokračovali sme v implementácii </w:t>
            </w:r>
            <w:proofErr w:type="spellStart"/>
            <w:r>
              <w:t>crawlovacích</w:t>
            </w:r>
            <w:proofErr w:type="spellEnd"/>
            <w:r>
              <w:t xml:space="preserve"> a extrakčných nástrojov na získavanie podujatí pre "turistický odporúčací systém", navrhli a implementovali sme metódy automatického uloženia a spracovania extrahovaných komentárov produktov z rôznych webových obchodov a pokračovali s implementáciou a testovaním metódy na anotáciu hodnôt atribútov s jednotkami a so zamlčanými jednotkami pre </w:t>
            </w:r>
            <w:r w:rsidR="00471CCC">
              <w:t>č</w:t>
            </w:r>
            <w:r>
              <w:t>iastkový výstup "</w:t>
            </w:r>
            <w:proofErr w:type="spellStart"/>
            <w:r>
              <w:t>Metakatalóg</w:t>
            </w:r>
            <w:proofErr w:type="spellEnd"/>
            <w:r>
              <w:t xml:space="preserve"> produktov internetových obchodov".</w:t>
            </w:r>
            <w:r w:rsidR="00471CCC">
              <w:t xml:space="preserve"> </w:t>
            </w:r>
            <w:r>
              <w:t xml:space="preserve">Pokračovali sme v štúdiu diskrétnych modelov a efektívnych algoritmov pre použitie v rôznych aplikačných oblastiach, ako napr. implementácia rekonštrukcie fázy z </w:t>
            </w:r>
            <w:proofErr w:type="spellStart"/>
            <w:r>
              <w:t>detektorových</w:t>
            </w:r>
            <w:proofErr w:type="spellEnd"/>
            <w:r>
              <w:t xml:space="preserve"> dát pre potreby zhodnotenia simulácie rozptylu pri rozpoznávaní obrazu, návrh</w:t>
            </w:r>
            <w:r w:rsidR="00471CCC">
              <w:t xml:space="preserve"> </w:t>
            </w:r>
            <w:r>
              <w:t>aproximačných algoritmov pre problém priradzovania študentov na praxe, analýza</w:t>
            </w:r>
            <w:r w:rsidR="00471CCC">
              <w:t xml:space="preserve"> </w:t>
            </w:r>
            <w:proofErr w:type="spellStart"/>
            <w:r>
              <w:t>fuzzifikácie</w:t>
            </w:r>
            <w:proofErr w:type="spellEnd"/>
            <w:r>
              <w:t xml:space="preserve"> a iných rozšírení formálnej </w:t>
            </w:r>
            <w:proofErr w:type="spellStart"/>
            <w:r>
              <w:t>konceptovej</w:t>
            </w:r>
            <w:proofErr w:type="spellEnd"/>
            <w:r>
              <w:t xml:space="preserve"> analýzy z pohľadu teórie</w:t>
            </w:r>
            <w:r w:rsidR="00471CCC">
              <w:t xml:space="preserve"> </w:t>
            </w:r>
            <w:r>
              <w:t>pravdepodobnosti, analyzovali sme algoritmy na detekciu horizontu z pohľadu použiteľnosti pre mapovanie s vypočítaným profilom horizontu z geografického modelu prostredia.</w:t>
            </w:r>
          </w:p>
          <w:p w:rsidR="002A0EC5" w:rsidRDefault="002A0EC5" w:rsidP="004A3691"/>
          <w:p w:rsidR="009262DA" w:rsidRPr="00EA760B" w:rsidRDefault="004A3691" w:rsidP="004A3691">
            <w:pPr>
              <w:rPr>
                <w:b/>
              </w:rPr>
            </w:pPr>
            <w:r w:rsidRPr="00EA760B">
              <w:rPr>
                <w:b/>
              </w:rPr>
              <w:t xml:space="preserve">PP 6. Výskum a vývoj metód </w:t>
            </w:r>
            <w:proofErr w:type="spellStart"/>
            <w:r w:rsidRPr="00EA760B">
              <w:rPr>
                <w:b/>
              </w:rPr>
              <w:t>geoprocessingu</w:t>
            </w:r>
            <w:proofErr w:type="spellEnd"/>
            <w:r w:rsidRPr="00EA760B">
              <w:rPr>
                <w:b/>
              </w:rPr>
              <w:t xml:space="preserve"> v </w:t>
            </w:r>
            <w:proofErr w:type="spellStart"/>
            <w:r w:rsidRPr="00EA760B">
              <w:rPr>
                <w:b/>
              </w:rPr>
              <w:t>geopriestorových</w:t>
            </w:r>
            <w:proofErr w:type="spellEnd"/>
            <w:r w:rsidRPr="00EA760B">
              <w:rPr>
                <w:b/>
              </w:rPr>
              <w:t xml:space="preserve"> </w:t>
            </w:r>
            <w:proofErr w:type="spellStart"/>
            <w:r w:rsidRPr="00EA760B">
              <w:rPr>
                <w:b/>
              </w:rPr>
              <w:t>technológiach</w:t>
            </w:r>
            <w:proofErr w:type="spellEnd"/>
            <w:r w:rsidRPr="00EA760B">
              <w:rPr>
                <w:b/>
              </w:rPr>
              <w:t xml:space="preserve"> a </w:t>
            </w:r>
            <w:proofErr w:type="spellStart"/>
            <w:r w:rsidRPr="00EA760B">
              <w:rPr>
                <w:b/>
              </w:rPr>
              <w:t>službach</w:t>
            </w:r>
            <w:proofErr w:type="spellEnd"/>
            <w:r w:rsidRPr="00EA760B">
              <w:rPr>
                <w:b/>
              </w:rPr>
              <w:t>:</w:t>
            </w:r>
          </w:p>
          <w:p w:rsidR="002A0EC5" w:rsidRPr="00EA760B" w:rsidRDefault="002A0EC5" w:rsidP="004A3691">
            <w:r w:rsidRPr="00EA760B">
              <w:t xml:space="preserve">Výskum sa zameral najmä na testovanie presností laserového skenovania v </w:t>
            </w:r>
            <w:proofErr w:type="spellStart"/>
            <w:r w:rsidRPr="00EA760B">
              <w:t>orovnaní</w:t>
            </w:r>
            <w:proofErr w:type="spellEnd"/>
            <w:r w:rsidRPr="00EA760B">
              <w:t xml:space="preserve"> s tradičnými geodetickými metódami na báze optických metód.</w:t>
            </w:r>
          </w:p>
          <w:p w:rsidR="001B5E90" w:rsidRDefault="001B5E9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015DFB" w:rsidRDefault="00471CCC" w:rsidP="00015DFB">
            <w:r w:rsidRPr="00471CCC">
              <w:t>Dosiahnuté výsledky jednotlivých PP sú popísané vyššie v časti</w:t>
            </w:r>
            <w:r>
              <w:t>ach</w:t>
            </w:r>
            <w:r w:rsidRPr="00471CCC">
              <w:t xml:space="preserve"> „Vecný pokrok </w:t>
            </w:r>
            <w:r>
              <w:t>v realizácii aktivity podľa PP“ a „</w:t>
            </w:r>
            <w:r w:rsidRPr="00471CCC">
              <w:t xml:space="preserve">Stručný popis pokroku vo </w:t>
            </w:r>
            <w:r>
              <w:t xml:space="preserve">výskumných činnostiach podľa PP“. Okrem vyššie popísaného boli výsledky v rámci PP6 prezentované </w:t>
            </w:r>
            <w:r w:rsidR="002A0EC5" w:rsidRPr="002A0EC5">
              <w:t xml:space="preserve">na medzinárodnej konferencii </w:t>
            </w:r>
            <w:proofErr w:type="spellStart"/>
            <w:r w:rsidR="002A0EC5" w:rsidRPr="002A0EC5">
              <w:t>Geomorphometry</w:t>
            </w:r>
            <w:proofErr w:type="spellEnd"/>
            <w:r w:rsidR="002A0EC5" w:rsidRPr="002A0EC5">
              <w:t xml:space="preserve"> 2015, 21-26.6.2015 v Poznani, Poľsko na Univerzite Adama </w:t>
            </w:r>
            <w:proofErr w:type="spellStart"/>
            <w:r w:rsidR="002A0EC5" w:rsidRPr="002A0EC5">
              <w:t>Miczkiewicza</w:t>
            </w:r>
            <w:proofErr w:type="spellEnd"/>
            <w:r w:rsidR="002A0EC5" w:rsidRPr="002A0EC5">
              <w:t>, Fakulta geografických a geologických vied.</w:t>
            </w:r>
            <w:r w:rsidR="00015DFB">
              <w:t xml:space="preserve"> V rámci PP1 boli v</w:t>
            </w:r>
            <w:r w:rsidR="00015DFB">
              <w:t xml:space="preserve">ýsledky projektu </w:t>
            </w:r>
            <w:r w:rsidR="00015DFB">
              <w:t xml:space="preserve">prezentované </w:t>
            </w:r>
            <w:r w:rsidR="00015DFB">
              <w:t xml:space="preserve">na medzinárodnej konferencii </w:t>
            </w:r>
            <w:proofErr w:type="spellStart"/>
            <w:r w:rsidR="00015DFB">
              <w:t>Nordugrid</w:t>
            </w:r>
            <w:proofErr w:type="spellEnd"/>
            <w:r w:rsidR="00015DFB">
              <w:t xml:space="preserve"> 2015, 4-5.6 2015, Bern Švajčiarsko http://indico.hep.lu.se//conferenceDisplay.py?confId=1578</w:t>
            </w:r>
          </w:p>
          <w:p w:rsidR="00015DFB" w:rsidRDefault="00015DFB" w:rsidP="00015DFB">
            <w:r>
              <w:t>Prednáška: „</w:t>
            </w: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reconstruction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3D </w:t>
            </w:r>
            <w:proofErr w:type="spellStart"/>
            <w:r>
              <w:t>scanned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cave</w:t>
            </w:r>
            <w:proofErr w:type="spellEnd"/>
            <w:r>
              <w:t xml:space="preserve"> Domica (Slovakia)“</w:t>
            </w:r>
          </w:p>
          <w:p w:rsidR="00015DFB" w:rsidRDefault="00015DFB" w:rsidP="00015DFB">
            <w:r>
              <w:t>http://indico.hep.lu.se//contributionDisplay.py?contribId=30&amp;sessionId=16&amp;confId=1578</w:t>
            </w:r>
          </w:p>
          <w:p w:rsidR="00015DFB" w:rsidRDefault="00015DFB" w:rsidP="00015DFB">
            <w:r>
              <w:t xml:space="preserve">Výsledky </w:t>
            </w:r>
            <w:r>
              <w:t>týkajúce</w:t>
            </w:r>
            <w:r>
              <w:t xml:space="preserve"> sa vzdelávania a </w:t>
            </w:r>
            <w:r>
              <w:t>prípravy</w:t>
            </w:r>
            <w:r>
              <w:t xml:space="preserve"> nových užívateľov v oblasti distribuovaného počítania ako aj  možnosti využívania certifikovaného </w:t>
            </w:r>
            <w:proofErr w:type="spellStart"/>
            <w:r>
              <w:t>uzola</w:t>
            </w:r>
            <w:proofErr w:type="spellEnd"/>
            <w:r>
              <w:t xml:space="preserve">  EGI pri </w:t>
            </w:r>
            <w:proofErr w:type="spellStart"/>
            <w:r>
              <w:t>výuke</w:t>
            </w:r>
            <w:proofErr w:type="spellEnd"/>
            <w:r>
              <w:t xml:space="preserve"> boli prezentované  na domácom podujatí:   “WLCG T2 Slovak </w:t>
            </w:r>
            <w:proofErr w:type="spellStart"/>
            <w:r>
              <w:t>Federation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2015-4, Danišovce, 28.6-1.7. 2015”.</w:t>
            </w:r>
          </w:p>
          <w:p w:rsidR="002A0EC5" w:rsidRDefault="00015DFB" w:rsidP="00015DFB">
            <w:r>
              <w:t xml:space="preserve">https://indico.saske.sk/event/4/timetable/#2015062 ide o oblasť fyziky vysokých energií, kde </w:t>
            </w:r>
            <w:r>
              <w:lastRenderedPageBreak/>
              <w:t xml:space="preserve">sa plánuje </w:t>
            </w:r>
            <w:r>
              <w:t>nasadenie</w:t>
            </w:r>
            <w:r>
              <w:t xml:space="preserve"> ARC </w:t>
            </w:r>
            <w:proofErr w:type="spellStart"/>
            <w:r>
              <w:t>middleweru</w:t>
            </w:r>
            <w:proofErr w:type="spellEnd"/>
            <w:r>
              <w:t xml:space="preserve"> http://www.nordugrid.org/ (</w:t>
            </w:r>
            <w:r>
              <w:t>podieľame</w:t>
            </w:r>
            <w:r>
              <w:t xml:space="preserve"> sa na testovaní) nasadiť v širšom </w:t>
            </w:r>
            <w:r>
              <w:t>meradle</w:t>
            </w:r>
            <w:r>
              <w:t>.</w:t>
            </w:r>
          </w:p>
          <w:p w:rsidR="001B5E90" w:rsidRDefault="001B5E9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461344" w:rsidRDefault="00461344" w:rsidP="00461344">
            <w:r>
              <w:t xml:space="preserve">Vzhľadom na neskorú dodávku IKT zariadení nebol </w:t>
            </w:r>
            <w:r w:rsidR="009048CB">
              <w:t xml:space="preserve">zatiaľ </w:t>
            </w:r>
            <w:r>
              <w:t xml:space="preserve">vyvíjaný softvér otestovaný na všetkých plánovaných platformách. Po dodaní zariadení </w:t>
            </w:r>
            <w:r w:rsidR="009048CB">
              <w:t>sa začali realizovať prvé testy. N</w:t>
            </w:r>
            <w:r>
              <w:t xml:space="preserve">a </w:t>
            </w:r>
            <w:r w:rsidR="009048CB">
              <w:t xml:space="preserve">základe </w:t>
            </w:r>
            <w:r w:rsidR="002C379F">
              <w:t xml:space="preserve">výsledkov týchto </w:t>
            </w:r>
            <w:r>
              <w:t xml:space="preserve">testov môže dôjsť </w:t>
            </w:r>
            <w:r w:rsidR="002C379F">
              <w:t>zvýšeniu objemu úloh v</w:t>
            </w:r>
            <w:r>
              <w:t xml:space="preserve"> posledných mesiaco</w:t>
            </w:r>
            <w:r w:rsidR="002C379F">
              <w:t>ch</w:t>
            </w:r>
            <w:r>
              <w:t xml:space="preserve"> riešenia projektu. Rizikom môže byť meškanie stavebných prác.</w:t>
            </w:r>
          </w:p>
          <w:p w:rsidR="002A0EC5" w:rsidRDefault="002A0EC5" w:rsidP="004A3691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2A0EC5" w:rsidRDefault="002A0EC5" w:rsidP="004A3691">
            <w:r w:rsidRPr="002A0EC5">
              <w:t>Realizácia výskumných aktivít nie je v omeškaní, aj napriek veľmi oneskorenej realizácii verejných obstarávaní.</w:t>
            </w:r>
          </w:p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3.7 Pilotné projekty PU v Prešove v odbore Environmentálne inžinierstvo</w:t>
            </w:r>
          </w:p>
          <w:p w:rsidR="00E12A9A" w:rsidRPr="006D6EB3" w:rsidRDefault="00E12A9A" w:rsidP="005F0BD5">
            <w:r w:rsidRPr="00E12A9A">
              <w:t xml:space="preserve">(prof. RNDr. Marián </w:t>
            </w:r>
            <w:proofErr w:type="spellStart"/>
            <w:r w:rsidRPr="00E12A9A">
              <w:t>Reiffers</w:t>
            </w:r>
            <w:proofErr w:type="spellEnd"/>
            <w:r w:rsidRPr="00E12A9A">
              <w:t>, DrSc.)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bottom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>
              <w:t>Riadenie projektu</w:t>
            </w:r>
          </w:p>
        </w:tc>
        <w:tc>
          <w:tcPr>
            <w:tcW w:w="7830" w:type="dxa"/>
          </w:tcPr>
          <w:p w:rsidR="00EA150F" w:rsidRDefault="006317A1" w:rsidP="001B00A0">
            <w:r>
              <w:t xml:space="preserve">V mesiaci jún prebiehali štandardné práce spojené s riadením projektu. Vzhľadom na </w:t>
            </w:r>
            <w:r w:rsidR="001B00A0">
              <w:t xml:space="preserve">ďalšiu dodávku </w:t>
            </w:r>
            <w:r>
              <w:t>IKT zariadení prebiehali činnosti spojené s ich evidenciou, poistením a rozdelením medzi výskumníkov.</w:t>
            </w:r>
            <w:r w:rsidR="001B00A0">
              <w:t xml:space="preserve"> </w:t>
            </w:r>
            <w:r>
              <w:t>V úzkej spolupráci so stavebným dozorom, projektantom a dodávateľom stavebných prác boli riešené otázky týkajúce sa realizácie stavby. Zároveň prebiehala komunikácia do vnútra univerzity s cieľom zabezpečiť čo najplynulejšiu realizáciu stavebných prác a.</w:t>
            </w:r>
          </w:p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>Publicita a informovanosť</w:t>
            </w:r>
          </w:p>
        </w:tc>
        <w:tc>
          <w:tcPr>
            <w:tcW w:w="7830" w:type="dxa"/>
          </w:tcPr>
          <w:p w:rsidR="00EA150F" w:rsidRDefault="001B00A0" w:rsidP="005F0BD5">
            <w:r>
              <w:t>V mesiaci máj neboli realizované činnosti týkajúce sa publicity.</w:t>
            </w:r>
          </w:p>
          <w:p w:rsidR="00672D18" w:rsidRDefault="00672D18" w:rsidP="00672D18">
            <w:pPr>
              <w:pStyle w:val="Odsekzoznamu"/>
              <w:numPr>
                <w:ilvl w:val="0"/>
                <w:numId w:val="7"/>
              </w:numPr>
            </w:pPr>
            <w:r>
              <w:t>P</w:t>
            </w:r>
            <w:r>
              <w:t>rezent</w:t>
            </w:r>
            <w:r>
              <w:t xml:space="preserve">ácia </w:t>
            </w:r>
            <w:r>
              <w:t xml:space="preserve">na medzinárodnej konferencii </w:t>
            </w:r>
            <w:proofErr w:type="spellStart"/>
            <w:r>
              <w:t>Nordugrid</w:t>
            </w:r>
            <w:proofErr w:type="spellEnd"/>
            <w:r>
              <w:t xml:space="preserve"> 2015, 4-5.6 2015, Bern Švajčiarsko </w:t>
            </w:r>
            <w:hyperlink r:id="rId15" w:history="1">
              <w:r w:rsidRPr="0025366B">
                <w:rPr>
                  <w:rStyle w:val="Hypertextovprepojenie"/>
                </w:rPr>
                <w:t>http://indico.hep.lu.se//confere</w:t>
              </w:r>
              <w:r w:rsidRPr="0025366B">
                <w:rPr>
                  <w:rStyle w:val="Hypertextovprepojenie"/>
                </w:rPr>
                <w:t>n</w:t>
              </w:r>
              <w:r w:rsidRPr="0025366B">
                <w:rPr>
                  <w:rStyle w:val="Hypertextovprepojenie"/>
                </w:rPr>
                <w:t>ceDisplay.py?confId=1578</w:t>
              </w:r>
            </w:hyperlink>
            <w:r>
              <w:t xml:space="preserve"> </w:t>
            </w:r>
            <w:r>
              <w:t>Prednáška: „</w:t>
            </w: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reconstruction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3D </w:t>
            </w:r>
            <w:proofErr w:type="spellStart"/>
            <w:r>
              <w:t>scanned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cave</w:t>
            </w:r>
            <w:proofErr w:type="spellEnd"/>
            <w:r>
              <w:t xml:space="preserve"> Domica (Slovakia)“</w:t>
            </w:r>
            <w:r>
              <w:t xml:space="preserve"> </w:t>
            </w:r>
            <w:hyperlink r:id="rId16" w:history="1">
              <w:r w:rsidRPr="0025366B">
                <w:rPr>
                  <w:rStyle w:val="Hypertextovprepojenie"/>
                </w:rPr>
                <w:t>http://indico.hep.lu.se//contri</w:t>
              </w:r>
              <w:r w:rsidRPr="0025366B">
                <w:rPr>
                  <w:rStyle w:val="Hypertextovprepojenie"/>
                </w:rPr>
                <w:t>b</w:t>
              </w:r>
              <w:r w:rsidRPr="0025366B">
                <w:rPr>
                  <w:rStyle w:val="Hypertextovprepojenie"/>
                </w:rPr>
                <w:t>utionDisplay.py?contribId=30&amp;sessionId=16&amp;confId=1578</w:t>
              </w:r>
            </w:hyperlink>
          </w:p>
          <w:p w:rsidR="00672D18" w:rsidRDefault="00672D18" w:rsidP="00672D18">
            <w:pPr>
              <w:pStyle w:val="Odsekzoznamu"/>
              <w:numPr>
                <w:ilvl w:val="0"/>
                <w:numId w:val="7"/>
              </w:numPr>
            </w:pPr>
            <w:r>
              <w:t>Prezentácia</w:t>
            </w:r>
            <w:r>
              <w:t xml:space="preserve">:   “WLCG T2 Slovak </w:t>
            </w:r>
            <w:proofErr w:type="spellStart"/>
            <w:r>
              <w:t>Federation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2015-4, Danišovce, 28.6-1.7. 2015”</w:t>
            </w:r>
            <w:r>
              <w:t xml:space="preserve"> </w:t>
            </w:r>
            <w:hyperlink r:id="rId17" w:history="1">
              <w:r w:rsidRPr="0025366B">
                <w:rPr>
                  <w:rStyle w:val="Hypertextovprepojenie"/>
                </w:rPr>
                <w:t>https://indic</w:t>
              </w:r>
              <w:r w:rsidRPr="0025366B">
                <w:rPr>
                  <w:rStyle w:val="Hypertextovprepojenie"/>
                </w:rPr>
                <w:t>o</w:t>
              </w:r>
              <w:r w:rsidRPr="0025366B">
                <w:rPr>
                  <w:rStyle w:val="Hypertextovprepojenie"/>
                </w:rPr>
                <w:t>.saske.sk/event/4/timetable/#2015062</w:t>
              </w:r>
            </w:hyperlink>
          </w:p>
          <w:p w:rsidR="00672D18" w:rsidRDefault="00672D18" w:rsidP="00672D18"/>
        </w:tc>
      </w:tr>
    </w:tbl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EA150F" w:rsidRDefault="00EA150F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647E2E" w:rsidRDefault="00647E2E" w:rsidP="005F0BD5"/>
    <w:p w:rsidR="00EA150F" w:rsidRPr="00EA150F" w:rsidRDefault="00EA150F" w:rsidP="005F0BD5">
      <w:r>
        <w:t>_________________</w:t>
      </w:r>
    </w:p>
    <w:p w:rsidR="00EA150F" w:rsidRDefault="00EA150F" w:rsidP="005F0BD5">
      <w:pPr>
        <w:rPr>
          <w:rFonts w:ascii="Arial Narrow" w:hAnsi="Arial Narrow"/>
          <w:sz w:val="18"/>
          <w:szCs w:val="18"/>
        </w:rPr>
      </w:pPr>
      <w:r>
        <w:rPr>
          <w:rFonts w:eastAsiaTheme="minorEastAsia"/>
          <w:bCs/>
          <w:iCs/>
          <w:noProof/>
          <w:vertAlign w:val="superscript"/>
          <w:lang w:eastAsia="sk-SK"/>
        </w:rPr>
        <w:t xml:space="preserve">1 </w:t>
      </w:r>
      <w:r>
        <w:rPr>
          <w:rFonts w:ascii="Arial Narrow" w:hAnsi="Arial Narrow"/>
          <w:sz w:val="18"/>
          <w:szCs w:val="18"/>
        </w:rPr>
        <w:t>Stručný</w:t>
      </w:r>
      <w:r w:rsidRPr="00E156FE">
        <w:rPr>
          <w:rFonts w:ascii="Arial Narrow" w:hAnsi="Arial Narrow"/>
          <w:sz w:val="18"/>
          <w:szCs w:val="18"/>
        </w:rPr>
        <w:t xml:space="preserve"> p</w:t>
      </w:r>
      <w:r>
        <w:rPr>
          <w:rFonts w:ascii="Arial Narrow" w:hAnsi="Arial Narrow"/>
          <w:sz w:val="18"/>
          <w:szCs w:val="18"/>
        </w:rPr>
        <w:t xml:space="preserve">opis </w:t>
      </w:r>
      <w:r w:rsidRPr="00E156FE">
        <w:rPr>
          <w:rFonts w:ascii="Arial Narrow" w:hAnsi="Arial Narrow"/>
          <w:sz w:val="18"/>
          <w:szCs w:val="18"/>
        </w:rPr>
        <w:t>realizáci</w:t>
      </w:r>
      <w:r>
        <w:rPr>
          <w:rFonts w:ascii="Arial Narrow" w:hAnsi="Arial Narrow"/>
          <w:sz w:val="18"/>
          <w:szCs w:val="18"/>
        </w:rPr>
        <w:t>e</w:t>
      </w:r>
      <w:r w:rsidRPr="00E156FE">
        <w:rPr>
          <w:rFonts w:ascii="Arial Narrow" w:hAnsi="Arial Narrow"/>
          <w:sz w:val="18"/>
          <w:szCs w:val="18"/>
        </w:rPr>
        <w:t xml:space="preserve"> príslušnej aktivity projektu: súčasný stav verejného obstarávania,</w:t>
      </w:r>
      <w:r>
        <w:rPr>
          <w:rFonts w:ascii="Arial Narrow" w:hAnsi="Arial Narrow"/>
          <w:sz w:val="18"/>
          <w:szCs w:val="18"/>
        </w:rPr>
        <w:t xml:space="preserve"> pokrok v stavebných činnostiach, v dodaní tovarov a služieb, </w:t>
      </w:r>
      <w:r w:rsidR="0023192C">
        <w:rPr>
          <w:rFonts w:ascii="Arial Narrow" w:hAnsi="Arial Narrow"/>
          <w:sz w:val="18"/>
          <w:szCs w:val="18"/>
        </w:rPr>
        <w:t xml:space="preserve">stručný popis pokroku vo výskumných činnostiach, </w:t>
      </w:r>
      <w:r w:rsidRPr="00E156FE">
        <w:rPr>
          <w:rFonts w:ascii="Arial Narrow" w:hAnsi="Arial Narrow"/>
          <w:sz w:val="18"/>
          <w:szCs w:val="18"/>
        </w:rPr>
        <w:t xml:space="preserve"> dosiahnuté výsledky aktivity a pod.</w:t>
      </w:r>
      <w:r w:rsidR="0023192C">
        <w:rPr>
          <w:rFonts w:ascii="Arial Narrow" w:hAnsi="Arial Narrow"/>
          <w:sz w:val="18"/>
          <w:szCs w:val="18"/>
        </w:rPr>
        <w:t xml:space="preserve"> zároveň je nevyhnutné uviesť rizikové oblasti. </w:t>
      </w:r>
      <w:r w:rsidRPr="00E156FE">
        <w:rPr>
          <w:rFonts w:ascii="Arial Narrow" w:hAnsi="Arial Narrow"/>
          <w:sz w:val="18"/>
          <w:szCs w:val="18"/>
        </w:rPr>
        <w:t>Ak je realizácia aktivít v</w:t>
      </w:r>
      <w:r>
        <w:rPr>
          <w:rFonts w:ascii="Arial Narrow" w:hAnsi="Arial Narrow"/>
          <w:sz w:val="18"/>
          <w:szCs w:val="18"/>
        </w:rPr>
        <w:t> </w:t>
      </w:r>
      <w:r w:rsidRPr="00E156FE">
        <w:rPr>
          <w:rFonts w:ascii="Arial Narrow" w:hAnsi="Arial Narrow"/>
          <w:sz w:val="18"/>
          <w:szCs w:val="18"/>
        </w:rPr>
        <w:t>omeškaní</w:t>
      </w:r>
      <w:r>
        <w:rPr>
          <w:rFonts w:ascii="Arial Narrow" w:hAnsi="Arial Narrow"/>
          <w:sz w:val="18"/>
          <w:szCs w:val="18"/>
        </w:rPr>
        <w:t>, je potrebné uviesť</w:t>
      </w:r>
      <w:r w:rsidR="0023192C">
        <w:rPr>
          <w:rFonts w:ascii="Arial Narrow" w:hAnsi="Arial Narrow"/>
          <w:sz w:val="18"/>
          <w:szCs w:val="18"/>
        </w:rPr>
        <w:t xml:space="preserve"> dôvody omeškania a aké boli prijaté opatrenia. </w:t>
      </w:r>
      <w:r w:rsidRPr="00E156FE">
        <w:rPr>
          <w:rFonts w:ascii="Arial Narrow" w:hAnsi="Arial Narrow"/>
          <w:sz w:val="18"/>
          <w:szCs w:val="18"/>
        </w:rPr>
        <w:t xml:space="preserve"> V prípade, že je aktivita ukončená</w:t>
      </w:r>
      <w:r>
        <w:rPr>
          <w:rFonts w:ascii="Arial Narrow" w:hAnsi="Arial Narrow"/>
          <w:sz w:val="18"/>
          <w:szCs w:val="18"/>
        </w:rPr>
        <w:t xml:space="preserve">, uviesť </w:t>
      </w:r>
      <w:r w:rsidRPr="00E156FE">
        <w:rPr>
          <w:rFonts w:ascii="Arial Narrow" w:hAnsi="Arial Narrow"/>
          <w:sz w:val="18"/>
          <w:szCs w:val="18"/>
        </w:rPr>
        <w:t>len text „UKONČENÁ“</w:t>
      </w:r>
      <w:r>
        <w:rPr>
          <w:rFonts w:ascii="Arial Narrow" w:hAnsi="Arial Narrow"/>
          <w:sz w:val="18"/>
          <w:szCs w:val="18"/>
        </w:rPr>
        <w:t>.</w:t>
      </w:r>
    </w:p>
    <w:p w:rsidR="00755127" w:rsidRPr="00755127" w:rsidRDefault="00755127" w:rsidP="005F0BD5">
      <w:pPr>
        <w:rPr>
          <w:rFonts w:eastAsiaTheme="minorEastAsia"/>
          <w:bCs/>
          <w:iCs/>
          <w:noProof/>
          <w:lang w:eastAsia="sk-SK"/>
        </w:rPr>
      </w:pPr>
    </w:p>
    <w:p w:rsidR="00561E56" w:rsidRPr="00AC67D9" w:rsidRDefault="00EF13F2" w:rsidP="005F0BD5">
      <w:pPr>
        <w:rPr>
          <w:rFonts w:eastAsiaTheme="minorEastAsia"/>
          <w:b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t xml:space="preserve">3. Finančný pokrok v realizácii aktivít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45"/>
        <w:gridCol w:w="2833"/>
        <w:gridCol w:w="2835"/>
        <w:gridCol w:w="2977"/>
      </w:tblGrid>
      <w:tr w:rsidR="004B4C86" w:rsidRPr="00AC67D9" w:rsidTr="003C3464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AC67D9" w:rsidRDefault="004B4C86" w:rsidP="003C3464">
            <w:pPr>
              <w:jc w:val="center"/>
              <w:rPr>
                <w:rFonts w:eastAsiaTheme="minorEastAsia"/>
                <w:b/>
                <w:bCs/>
                <w:iCs/>
                <w:noProof/>
                <w:lang w:eastAsia="sk-SK"/>
              </w:rPr>
            </w:pPr>
            <w:r w:rsidRPr="00AC67D9">
              <w:rPr>
                <w:rFonts w:eastAsiaTheme="minorEastAsia"/>
                <w:b/>
                <w:bCs/>
                <w:iCs/>
                <w:noProof/>
                <w:lang w:eastAsia="sk-SK"/>
              </w:rPr>
              <w:t>Finančný pokrok v realizácii aktivít</w:t>
            </w:r>
            <w:r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2</w:t>
            </w:r>
          </w:p>
        </w:tc>
      </w:tr>
      <w:tr w:rsidR="004B4C86" w:rsidRPr="0065201F" w:rsidTr="003C3464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65201F" w:rsidRDefault="004B4C86" w:rsidP="003C3464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4B4C86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430090" w:rsidRDefault="00F10985" w:rsidP="00430090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aktivity </w:t>
            </w:r>
          </w:p>
        </w:tc>
        <w:tc>
          <w:tcPr>
            <w:tcW w:w="2833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D939DF">
            <w:pPr>
              <w:jc w:val="center"/>
              <w:rPr>
                <w:b/>
              </w:rPr>
            </w:pPr>
            <w:r w:rsidRPr="00430090">
              <w:rPr>
                <w:b/>
              </w:rPr>
              <w:t>Vyčerpaná</w:t>
            </w:r>
            <w:r w:rsidR="00D939DF" w:rsidRPr="00430090">
              <w:rPr>
                <w:b/>
              </w:rPr>
              <w:t xml:space="preserve"> </w:t>
            </w:r>
            <w:r w:rsidR="00D939DF">
              <w:rPr>
                <w:b/>
              </w:rPr>
              <w:t>s</w:t>
            </w:r>
            <w:r w:rsidR="00D939DF" w:rsidRPr="00430090">
              <w:rPr>
                <w:b/>
              </w:rPr>
              <w:t>uma NFP</w:t>
            </w:r>
          </w:p>
        </w:tc>
        <w:tc>
          <w:tcPr>
            <w:tcW w:w="2835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Zostatok</w:t>
            </w:r>
          </w:p>
        </w:tc>
        <w:tc>
          <w:tcPr>
            <w:tcW w:w="2977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>
              <w:rPr>
                <w:b/>
              </w:rPr>
              <w:t>Odhad nedočerpania</w:t>
            </w:r>
          </w:p>
        </w:tc>
      </w:tr>
      <w:tr w:rsidR="00763AA8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1.1 Etablovanie UVP TECHNICOM v súlade s adekvátnymi princípmi vedeckého manažmentu.</w:t>
            </w:r>
          </w:p>
        </w:tc>
        <w:tc>
          <w:tcPr>
            <w:tcW w:w="2833" w:type="dxa"/>
            <w:vAlign w:val="center"/>
          </w:tcPr>
          <w:p w:rsidR="00763AA8" w:rsidRDefault="003C3464" w:rsidP="003C3464">
            <w:pPr>
              <w:jc w:val="right"/>
            </w:pPr>
            <w:r>
              <w:t>2 435,84</w:t>
            </w:r>
          </w:p>
        </w:tc>
        <w:tc>
          <w:tcPr>
            <w:tcW w:w="2835" w:type="dxa"/>
            <w:vAlign w:val="center"/>
          </w:tcPr>
          <w:p w:rsidR="00763AA8" w:rsidRDefault="003C3464" w:rsidP="003C3464">
            <w:pPr>
              <w:jc w:val="right"/>
            </w:pPr>
            <w:r>
              <w:t>14 755,36</w:t>
            </w:r>
          </w:p>
        </w:tc>
        <w:tc>
          <w:tcPr>
            <w:tcW w:w="2977" w:type="dxa"/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1.2 Metodická, odborná a realizačná podpora riešenia predkladaného projektu</w:t>
            </w:r>
          </w:p>
        </w:tc>
        <w:tc>
          <w:tcPr>
            <w:tcW w:w="2833" w:type="dxa"/>
            <w:vAlign w:val="center"/>
          </w:tcPr>
          <w:p w:rsidR="00763AA8" w:rsidRDefault="003C3464" w:rsidP="003C3464">
            <w:pPr>
              <w:jc w:val="right"/>
            </w:pPr>
            <w:r>
              <w:t>756,54</w:t>
            </w:r>
          </w:p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3C3464" w:rsidP="003C3464">
            <w:pPr>
              <w:jc w:val="right"/>
            </w:pPr>
            <w:r>
              <w:t>12 396,40</w:t>
            </w:r>
          </w:p>
        </w:tc>
        <w:tc>
          <w:tcPr>
            <w:tcW w:w="2977" w:type="dxa"/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1.3 Príprava a zabezpečenie služieb pre udržateľný chod UVP TECHNICOM</w:t>
            </w:r>
          </w:p>
        </w:tc>
        <w:tc>
          <w:tcPr>
            <w:tcW w:w="2833" w:type="dxa"/>
            <w:vAlign w:val="center"/>
          </w:tcPr>
          <w:p w:rsidR="00763AA8" w:rsidRDefault="003C3464" w:rsidP="003C3464">
            <w:pPr>
              <w:jc w:val="right"/>
            </w:pPr>
            <w:r>
              <w:t>179,74</w:t>
            </w:r>
          </w:p>
        </w:tc>
        <w:tc>
          <w:tcPr>
            <w:tcW w:w="2835" w:type="dxa"/>
            <w:vAlign w:val="center"/>
          </w:tcPr>
          <w:p w:rsidR="00763AA8" w:rsidRDefault="003C3464" w:rsidP="003C3464">
            <w:pPr>
              <w:jc w:val="right"/>
            </w:pPr>
            <w:r>
              <w:t>18 443,53</w:t>
            </w:r>
          </w:p>
        </w:tc>
        <w:tc>
          <w:tcPr>
            <w:tcW w:w="2977" w:type="dxa"/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2.1. Vybudovanie stavebných objektov a príslušnej infraštruktúry v areáli TUKE</w:t>
            </w:r>
          </w:p>
        </w:tc>
        <w:tc>
          <w:tcPr>
            <w:tcW w:w="2833" w:type="dxa"/>
            <w:vAlign w:val="center"/>
          </w:tcPr>
          <w:p w:rsidR="00763AA8" w:rsidRDefault="00763AA8" w:rsidP="003C3464">
            <w:pPr>
              <w:jc w:val="right"/>
            </w:pPr>
          </w:p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</w:tc>
        <w:tc>
          <w:tcPr>
            <w:tcW w:w="2833" w:type="dxa"/>
            <w:vAlign w:val="center"/>
          </w:tcPr>
          <w:p w:rsidR="00763AA8" w:rsidRDefault="00763AA8" w:rsidP="003C3464">
            <w:pPr>
              <w:jc w:val="right"/>
            </w:pPr>
          </w:p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 xml:space="preserve">Aktivita 2.3 </w:t>
            </w:r>
            <w:r w:rsidRPr="006D6EB3">
              <w:lastRenderedPageBreak/>
              <w:t>Nadstavba, zateplenie a modernizácia časti UVP TECHNICOM na Jesennej 5 v Košiciach</w:t>
            </w:r>
          </w:p>
        </w:tc>
        <w:tc>
          <w:tcPr>
            <w:tcW w:w="2833" w:type="dxa"/>
            <w:vAlign w:val="center"/>
          </w:tcPr>
          <w:p w:rsidR="00763AA8" w:rsidRDefault="003C3464" w:rsidP="003C3464">
            <w:pPr>
              <w:jc w:val="right"/>
            </w:pPr>
            <w:r>
              <w:lastRenderedPageBreak/>
              <w:t>0,00</w:t>
            </w:r>
          </w:p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3C3464" w:rsidP="003C3464">
            <w:pPr>
              <w:jc w:val="right"/>
            </w:pPr>
            <w:r>
              <w:lastRenderedPageBreak/>
              <w:t>749 572,06</w:t>
            </w:r>
          </w:p>
        </w:tc>
        <w:tc>
          <w:tcPr>
            <w:tcW w:w="2977" w:type="dxa"/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lastRenderedPageBreak/>
              <w:t>Aktivita 2.4  Vybavenie UVP TECHNICOM Jesenná 5 infraštruktúrou potrebnou k realizácii aplikovaného výskumu</w:t>
            </w:r>
          </w:p>
        </w:tc>
        <w:tc>
          <w:tcPr>
            <w:tcW w:w="2833" w:type="dxa"/>
            <w:vAlign w:val="center"/>
          </w:tcPr>
          <w:p w:rsidR="00763AA8" w:rsidRDefault="003C3464" w:rsidP="003C3464">
            <w:pPr>
              <w:jc w:val="right"/>
            </w:pPr>
            <w:r>
              <w:t>80 786,10</w:t>
            </w:r>
          </w:p>
        </w:tc>
        <w:tc>
          <w:tcPr>
            <w:tcW w:w="2835" w:type="dxa"/>
            <w:vAlign w:val="center"/>
          </w:tcPr>
          <w:p w:rsidR="00763AA8" w:rsidRDefault="003C3464" w:rsidP="003C3464">
            <w:pPr>
              <w:jc w:val="right"/>
            </w:pPr>
            <w:r>
              <w:t>2 093 653,34</w:t>
            </w:r>
          </w:p>
        </w:tc>
        <w:tc>
          <w:tcPr>
            <w:tcW w:w="2977" w:type="dxa"/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2.5 Výstavba nových výskumných priestorov partnera Prešovská univerzita - UNIPOLAB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2.6  Vybavenie priestorov partnera PU nevyhnutnou prístrojovou, laboratórnou a IKT infraštruktúrou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3.1 Pilotné projekty v odbore 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3.2 Pilotné projekty v odbore Elektrotechnika, automatizácia a riadiace systémy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>Aktivita 3.3 Pilotné projekty v odbore Strojárstvo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3C3464">
            <w:r w:rsidRPr="006D6EB3">
              <w:t xml:space="preserve">Aktivita 3.4 </w:t>
            </w:r>
            <w:r w:rsidRPr="006D6EB3">
              <w:lastRenderedPageBreak/>
              <w:t>Pilotné projekty v odbore Stavebné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3C3464">
            <w:r w:rsidRPr="006D6EB3">
              <w:lastRenderedPageBreak/>
              <w:t>Aktivita 3.5 Pilotné projekty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3C3464">
            <w:r w:rsidRPr="006D6EB3">
              <w:t>Aktivita 3.6.  Pilotné projekty UPJŠ v odbore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3C3464" w:rsidP="003C3464">
            <w:pPr>
              <w:jc w:val="right"/>
            </w:pPr>
            <w:r>
              <w:t>346 273,69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3C3464" w:rsidP="003C3464">
            <w:pPr>
              <w:jc w:val="right"/>
            </w:pPr>
            <w:r>
              <w:t>772 972,38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763AA8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3C3464">
            <w:r w:rsidRPr="006D6EB3">
              <w:t>Aktivita 3.7 Pilotné projekty PU v Prešove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C3464"/>
        </w:tc>
      </w:tr>
      <w:tr w:rsidR="004B4C86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86" w:rsidRDefault="003C3464" w:rsidP="003C3464">
            <w:pPr>
              <w:jc w:val="right"/>
            </w:pPr>
            <w:r>
              <w:t>430 431,91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86" w:rsidRDefault="003C3464" w:rsidP="003C3464">
            <w:pPr>
              <w:jc w:val="right"/>
            </w:pPr>
            <w:r>
              <w:t>3 661 793,07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B4C86" w:rsidRDefault="004B4C86" w:rsidP="003C3464"/>
        </w:tc>
      </w:tr>
      <w:tr w:rsidR="004B4C86" w:rsidRPr="0065201F" w:rsidTr="003C3464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65201F" w:rsidRDefault="004B4C86" w:rsidP="003C3464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442CAC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442CAC" w:rsidRDefault="00442CAC" w:rsidP="003C3464">
            <w:r>
              <w:t>Riadenie projektu</w:t>
            </w:r>
          </w:p>
        </w:tc>
        <w:tc>
          <w:tcPr>
            <w:tcW w:w="2833" w:type="dxa"/>
            <w:vAlign w:val="center"/>
          </w:tcPr>
          <w:p w:rsidR="003C3464" w:rsidRDefault="003C3464" w:rsidP="003C3464">
            <w:pPr>
              <w:jc w:val="right"/>
            </w:pPr>
            <w:r>
              <w:t>52 196,20</w:t>
            </w:r>
          </w:p>
        </w:tc>
        <w:tc>
          <w:tcPr>
            <w:tcW w:w="2835" w:type="dxa"/>
            <w:vAlign w:val="center"/>
          </w:tcPr>
          <w:p w:rsidR="00442CAC" w:rsidRDefault="003C3464" w:rsidP="003C3464">
            <w:pPr>
              <w:jc w:val="right"/>
            </w:pPr>
            <w:r>
              <w:t>108 022,63</w:t>
            </w:r>
          </w:p>
        </w:tc>
        <w:tc>
          <w:tcPr>
            <w:tcW w:w="2977" w:type="dxa"/>
            <w:vAlign w:val="center"/>
          </w:tcPr>
          <w:p w:rsidR="00442CAC" w:rsidRDefault="00442CAC" w:rsidP="003C3464"/>
        </w:tc>
      </w:tr>
      <w:tr w:rsidR="00442CAC" w:rsidTr="003C346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42CAC" w:rsidRDefault="00442CAC" w:rsidP="003C3464">
            <w:r w:rsidRPr="006D6EB3">
              <w:t>Publicita a informovanosť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442CAC" w:rsidRDefault="003C3464" w:rsidP="003C3464">
            <w:pPr>
              <w:jc w:val="right"/>
            </w:pPr>
            <w:r>
              <w:t>0,00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2CAC" w:rsidRDefault="003C3464" w:rsidP="003C3464">
            <w:pPr>
              <w:jc w:val="right"/>
            </w:pPr>
            <w:r>
              <w:t>9 659,49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2CAC" w:rsidRDefault="00442CAC" w:rsidP="003C3464"/>
        </w:tc>
      </w:tr>
      <w:tr w:rsidR="004B4C86" w:rsidTr="003C346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4B4C86" w:rsidRDefault="003C3464" w:rsidP="003C3464">
            <w:pPr>
              <w:jc w:val="right"/>
            </w:pPr>
            <w:r>
              <w:t>482 628,11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4C86" w:rsidRDefault="003C3464" w:rsidP="003C3464">
            <w:pPr>
              <w:jc w:val="right"/>
            </w:pPr>
            <w:r>
              <w:t>3 779 475,19</w:t>
            </w:r>
          </w:p>
        </w:tc>
        <w:tc>
          <w:tcPr>
            <w:tcW w:w="2977" w:type="dxa"/>
            <w:vAlign w:val="center"/>
          </w:tcPr>
          <w:p w:rsidR="004B4C86" w:rsidRDefault="004B4C86" w:rsidP="003C3464"/>
        </w:tc>
      </w:tr>
    </w:tbl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6E4A8E" w:rsidRDefault="006E4A8E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743E23" w:rsidRDefault="00743E23" w:rsidP="005F0BD5"/>
    <w:p w:rsidR="00743E23" w:rsidRDefault="00743E23" w:rsidP="005F0BD5"/>
    <w:p w:rsidR="00EF13F2" w:rsidRDefault="00EF13F2" w:rsidP="005F0BD5"/>
    <w:p w:rsidR="00755127" w:rsidRDefault="00755127" w:rsidP="005F0BD5"/>
    <w:p w:rsidR="00EF13F2" w:rsidRDefault="006E4A8E" w:rsidP="005F0BD5">
      <w:r>
        <w:t>______________________</w:t>
      </w:r>
    </w:p>
    <w:p w:rsidR="006E4A8E" w:rsidRDefault="006E4A8E" w:rsidP="006E4A8E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vertAlign w:val="superscript"/>
        </w:rPr>
        <w:t>2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Uvádzať </w:t>
      </w:r>
      <w:r w:rsidRPr="001254C2">
        <w:rPr>
          <w:rFonts w:ascii="Arial Narrow" w:hAnsi="Arial Narrow"/>
          <w:sz w:val="18"/>
          <w:szCs w:val="18"/>
        </w:rPr>
        <w:t xml:space="preserve"> kumulatívne </w:t>
      </w:r>
      <w:r>
        <w:rPr>
          <w:rFonts w:ascii="Arial Narrow" w:hAnsi="Arial Narrow"/>
          <w:sz w:val="18"/>
          <w:szCs w:val="18"/>
        </w:rPr>
        <w:t>vyčerpanú sumu NFP od začiatku realizácie projektu (t.j.</w:t>
      </w:r>
      <w:r w:rsidR="001A3961">
        <w:rPr>
          <w:rFonts w:ascii="Arial Narrow" w:hAnsi="Arial Narrow"/>
          <w:sz w:val="18"/>
          <w:szCs w:val="18"/>
        </w:rPr>
        <w:t xml:space="preserve"> sumu, ktorá už bola uhradená platobnou jednotkou</w:t>
      </w:r>
      <w:r>
        <w:rPr>
          <w:rFonts w:ascii="Arial Narrow" w:hAnsi="Arial Narrow"/>
          <w:sz w:val="18"/>
          <w:szCs w:val="18"/>
        </w:rPr>
        <w:t>).</w:t>
      </w:r>
    </w:p>
    <w:p w:rsidR="006E4A8E" w:rsidRPr="006E4A8E" w:rsidRDefault="006E4A8E" w:rsidP="005F0BD5"/>
    <w:p w:rsidR="00EF13F2" w:rsidRDefault="00EF13F2" w:rsidP="005F0BD5"/>
    <w:tbl>
      <w:tblPr>
        <w:tblpPr w:leftFromText="141" w:rightFromText="141" w:vertAnchor="text" w:horzAnchor="margin" w:tblpX="-601" w:tblpY="18"/>
        <w:tblOverlap w:val="never"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566"/>
        <w:gridCol w:w="1699"/>
        <w:gridCol w:w="1703"/>
        <w:gridCol w:w="1417"/>
        <w:gridCol w:w="1979"/>
      </w:tblGrid>
      <w:tr w:rsidR="00680FE9" w:rsidRPr="00E156FE" w:rsidTr="003C3464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3C346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Rozpočet projektu podľa skupín výdavkov</w:t>
            </w:r>
          </w:p>
        </w:tc>
      </w:tr>
      <w:tr w:rsidR="00680FE9" w:rsidRPr="00E156FE" w:rsidTr="003C3464">
        <w:trPr>
          <w:trHeight w:val="662"/>
        </w:trPr>
        <w:tc>
          <w:tcPr>
            <w:tcW w:w="105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3C3464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Názov skupiny výdavkov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3C3464">
            <w:pPr>
              <w:ind w:left="-159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Oprávnené výdavky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14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3C346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Výdavky deklarované v </w:t>
            </w:r>
            <w:proofErr w:type="spellStart"/>
            <w:r w:rsidRPr="00E3587A">
              <w:rPr>
                <w:rFonts w:cs="Arial"/>
                <w:b/>
              </w:rPr>
              <w:t>ŽoP</w:t>
            </w:r>
            <w:proofErr w:type="spellEnd"/>
            <w:r w:rsidRPr="00E3587A">
              <w:rPr>
                <w:rFonts w:cs="Arial"/>
                <w:b/>
              </w:rPr>
              <w:t xml:space="preserve"> 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3C346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Stav finančnej realizácie (v %) (podiel skutočne uhradených z plánovaných oprávnených výdavkov)</w:t>
            </w:r>
          </w:p>
        </w:tc>
      </w:tr>
      <w:tr w:rsidR="00680FE9" w:rsidRPr="00E156FE" w:rsidTr="003C3464">
        <w:trPr>
          <w:trHeight w:val="330"/>
        </w:trPr>
        <w:tc>
          <w:tcPr>
            <w:tcW w:w="105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80FE9" w:rsidRPr="00E3587A" w:rsidRDefault="00680FE9" w:rsidP="003C3464">
            <w:pPr>
              <w:rPr>
                <w:rFonts w:cs="Arial"/>
                <w:b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3C346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Plánovaný stav</w:t>
            </w:r>
          </w:p>
        </w:tc>
        <w:tc>
          <w:tcPr>
            <w:tcW w:w="8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3C3464">
            <w:pPr>
              <w:ind w:left="-22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Skutočný (aktuálny) stav</w:t>
            </w:r>
            <w:r>
              <w:rPr>
                <w:rStyle w:val="Odkaznapoznmkupodiarou"/>
                <w:rFonts w:cs="Arial"/>
                <w:b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3C3464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Predložené na RO</w:t>
            </w:r>
          </w:p>
          <w:p w:rsidR="00680FE9" w:rsidRPr="00E3587A" w:rsidRDefault="00680FE9" w:rsidP="003C346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3C3464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Schválené</w:t>
            </w:r>
            <w:r>
              <w:rPr>
                <w:rStyle w:val="Odkaznapoznmkupodiarou"/>
                <w:rFonts w:cs="Arial"/>
                <w:b/>
                <w:bCs/>
              </w:rPr>
              <w:t>4</w:t>
            </w:r>
            <w:r w:rsidRPr="00E3587A">
              <w:rPr>
                <w:rFonts w:cs="Arial"/>
                <w:b/>
                <w:bCs/>
              </w:rPr>
              <w:t xml:space="preserve"> výdavky projektu zo strany  PJ</w:t>
            </w:r>
          </w:p>
          <w:p w:rsidR="00680FE9" w:rsidRPr="00E3587A" w:rsidRDefault="00680FE9" w:rsidP="003C346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</w:tcBorders>
            <w:shd w:val="clear" w:color="auto" w:fill="92CDDC"/>
          </w:tcPr>
          <w:p w:rsidR="00680FE9" w:rsidRPr="00E3587A" w:rsidRDefault="00680FE9" w:rsidP="003C3464">
            <w:pPr>
              <w:jc w:val="center"/>
              <w:rPr>
                <w:rFonts w:cs="Arial"/>
                <w:b/>
              </w:rPr>
            </w:pP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>
              <w:t>610620 osobné náklady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1 218 608,30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746 229,14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692 343,73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406 874,52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33,39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>
              <w:t>631001 Tuzemské cestovné náklady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7 600,00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>
              <w:t>631002 Zahraničné cestovné náhrady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39 304,60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28 127,86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12 797,89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12,93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326665" w:rsidRDefault="00D3413F" w:rsidP="00D3413F">
            <w:r w:rsidRPr="00326665">
              <w:t>633001 Materiál - Interiérové vybavenie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84 070,00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326665">
              <w:t>633002 Materiál Výpočtová technika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14 761,00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>
              <w:t xml:space="preserve">633003 Materiál Telekomunikačná technika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896DFB" w:rsidRDefault="00D3413F" w:rsidP="00D3413F">
            <w:r w:rsidRPr="00896DFB">
              <w:t>633004 Materiál Prevádzkové stroje, prístroje, zariadenie, technika a náradie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15 819,00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4 375,00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896DFB">
              <w:t>633005 Materiál Špeciálne stroje, prístroje, zariadenie, technika a náradie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>
              <w:t xml:space="preserve">633006 Všeobecný materiál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22 630,00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8E20F2" w:rsidRDefault="00D3413F" w:rsidP="00D3413F">
            <w:r w:rsidRPr="008E20F2">
              <w:t>633009 Materiál Knihy, časopisy, noviny , učebnice, učebné pomôcky a kompenzačné pomôcky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8E20F2" w:rsidRDefault="00D3413F" w:rsidP="00D3413F">
            <w:r w:rsidRPr="008E20F2">
              <w:t>633013 Materiál Softvér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8 330,00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6 330,00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3 030,00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3 030,00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36,37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8E20F2">
              <w:t>633018 Licencie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1129D3" w:rsidRDefault="00D3413F" w:rsidP="00D3413F">
            <w:r w:rsidRPr="001129D3">
              <w:lastRenderedPageBreak/>
              <w:t>635002 Údržba Výpočtovej techniky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1129D3" w:rsidRDefault="00D3413F" w:rsidP="00D3413F">
            <w:r w:rsidRPr="001129D3">
              <w:t>635004 Údržba Prevádzkových strojov, prístrojov, zariadení, techniky a náradia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1129D3">
              <w:t xml:space="preserve">635009 Údržba </w:t>
            </w:r>
            <w:proofErr w:type="spellStart"/>
            <w:r w:rsidRPr="001129D3">
              <w:t>softwéru</w:t>
            </w:r>
            <w:proofErr w:type="spellEnd"/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8E0B3B" w:rsidRDefault="00D3413F" w:rsidP="00D3413F">
            <w:r w:rsidRPr="008E0B3B">
              <w:t>637001 Školenia, kurzy, semináre, porady, konferencie, sympóziá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1 602,47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1 112,47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8E0B3B" w:rsidRDefault="00D3413F" w:rsidP="00D3413F">
            <w:r w:rsidRPr="008E0B3B">
              <w:t>637003 Propagácia, reklama a inzercia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8 537,88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8E0B3B">
              <w:t>637004 Všeobecné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1 586,21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1 210,71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1 210,71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48,43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0659C1" w:rsidRDefault="00D3413F" w:rsidP="00D3413F">
            <w:r w:rsidRPr="000659C1">
              <w:t>637005 Špeciálne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0659C1" w:rsidRDefault="00D3413F" w:rsidP="00D3413F">
            <w:r w:rsidRPr="000659C1">
              <w:t>637011 Štúdie, expertízy, posudky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0659C1">
              <w:t>637012 Poplatky a odvody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153502" w:rsidRDefault="00D3413F" w:rsidP="00D3413F">
            <w:r w:rsidRPr="00153502">
              <w:t>637015 Poistné iné ako do ZP, SP a povinného poistenia vozidla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153502" w:rsidRDefault="00D3413F" w:rsidP="00D3413F">
            <w:r w:rsidRPr="00153502">
              <w:t>637027 Odmeny zamestnancov mimopracovného pomeru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23 641,50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15 529,41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15 529,41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1 108,48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4,69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153502">
              <w:t>711003 Nákup softvéru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7 500,00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94070C" w:rsidRDefault="00D3413F" w:rsidP="00D3413F">
            <w:r w:rsidRPr="0094070C">
              <w:t>711004 Nákup licencií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94070C" w:rsidRDefault="00D3413F" w:rsidP="00D3413F">
            <w:r w:rsidRPr="0094070C">
              <w:t>713001 Nákup interiérového vybavenia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94070C">
              <w:t>713002 Nákup výpočtovej techniky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925 094,00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52 072,00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A02D4C">
              <w:t>713003 Nákup telekomunikačnej techniky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F47E8E" w:rsidRDefault="00D3413F" w:rsidP="00D3413F">
            <w:r w:rsidRPr="00F47E8E">
              <w:t>713004 Nákup prevádzkových strojov, prístrojov, zariadení, techniky a náradia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1 078 099,63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F47E8E" w:rsidRDefault="00D3413F" w:rsidP="00D3413F">
            <w:r w:rsidRPr="00F47E8E">
              <w:t xml:space="preserve">713005 Nákup špeciálnych strojov, </w:t>
            </w:r>
            <w:r w:rsidRPr="00F47E8E">
              <w:lastRenderedPageBreak/>
              <w:t>prístrojov, zariadení, techniky, náradia a materiálu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F47E8E">
              <w:lastRenderedPageBreak/>
              <w:t>713006 Nákup komunikačnej infraštruktúry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3A20D3" w:rsidRDefault="00D3413F" w:rsidP="00D3413F">
            <w:r w:rsidRPr="003A20D3">
              <w:t>716 Prípravná a projektová dokumentácia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34 780,00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3A20D3" w:rsidRDefault="00D3413F" w:rsidP="00D3413F">
            <w:r w:rsidRPr="003A20D3">
              <w:t>717001 Realizácia nových stavieb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3A20D3">
              <w:t>717002 Rekonštrukcia a modernizácia stavieb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628 942,53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10 158,77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542E66" w:rsidRDefault="00D3413F" w:rsidP="00D3413F">
            <w:r w:rsidRPr="00542E66">
              <w:t>717003 Prístavby, nadstavby, stavebné úpravy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125 300,69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Default="00D3413F" w:rsidP="00D3413F">
            <w:r w:rsidRPr="00542E66">
              <w:t>718004 Modernizácia Prevádzkových strojov, prístrojov, zariadení, techniky a náradia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8 812,00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E3587A" w:rsidRDefault="00D3413F" w:rsidP="00D3413F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  <w:bCs/>
              </w:rPr>
              <w:t>Spolu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4 486 424,53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902 573,12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743 478,70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425 021,60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3F" w:rsidRDefault="00D3413F" w:rsidP="00D341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9,47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E3587A" w:rsidRDefault="00D3413F" w:rsidP="00D3413F">
            <w:pPr>
              <w:rPr>
                <w:rFonts w:cs="Arial"/>
                <w:b/>
                <w:bCs/>
              </w:rPr>
            </w:pPr>
          </w:p>
        </w:tc>
        <w:tc>
          <w:tcPr>
            <w:tcW w:w="739" w:type="pct"/>
            <w:shd w:val="clear" w:color="auto" w:fill="auto"/>
          </w:tcPr>
          <w:p w:rsidR="00D3413F" w:rsidRPr="00E3587A" w:rsidRDefault="00D3413F" w:rsidP="00D3413F">
            <w:pPr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</w:tcPr>
          <w:p w:rsidR="00D3413F" w:rsidRPr="00E3587A" w:rsidRDefault="00D3413F" w:rsidP="00D3413F">
            <w:pPr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</w:tcPr>
          <w:p w:rsidR="00D3413F" w:rsidRPr="00E3587A" w:rsidRDefault="00D3413F" w:rsidP="00D3413F">
            <w:pPr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</w:tcPr>
          <w:p w:rsidR="00D3413F" w:rsidRPr="00E3587A" w:rsidRDefault="00D3413F" w:rsidP="00D3413F">
            <w:pPr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</w:tcPr>
          <w:p w:rsidR="00D3413F" w:rsidRPr="00E3587A" w:rsidRDefault="00D3413F" w:rsidP="00D3413F">
            <w:pPr>
              <w:jc w:val="right"/>
              <w:rPr>
                <w:rFonts w:cs="Arial"/>
              </w:rPr>
            </w:pPr>
          </w:p>
        </w:tc>
      </w:tr>
      <w:tr w:rsidR="00D3413F" w:rsidRPr="00E156FE" w:rsidTr="003C3464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D3413F" w:rsidRPr="00E3587A" w:rsidRDefault="00D3413F" w:rsidP="00D3413F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Zdôvodnenie nesúladu skutočného a plánovaného stavu finančnej realizácie projektu</w:t>
            </w:r>
            <w:r>
              <w:rPr>
                <w:rStyle w:val="Odkaznapoznmkupodiarou"/>
                <w:rFonts w:cs="Arial"/>
                <w:b/>
              </w:rPr>
              <w:t>5</w:t>
            </w:r>
          </w:p>
        </w:tc>
      </w:tr>
      <w:tr w:rsidR="00D3413F" w:rsidRPr="00E156FE" w:rsidTr="003C3464">
        <w:tc>
          <w:tcPr>
            <w:tcW w:w="10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9BD4F9" w:themeFill="background2" w:themeFillShade="E6"/>
          </w:tcPr>
          <w:p w:rsidR="00D3413F" w:rsidRPr="00E3587A" w:rsidRDefault="00D3413F" w:rsidP="00D3413F">
            <w:pPr>
              <w:rPr>
                <w:rFonts w:cs="Arial"/>
                <w:b/>
                <w:bCs/>
              </w:rPr>
            </w:pPr>
          </w:p>
        </w:tc>
        <w:tc>
          <w:tcPr>
            <w:tcW w:w="3948" w:type="pct"/>
            <w:gridSpan w:val="5"/>
            <w:shd w:val="clear" w:color="auto" w:fill="auto"/>
          </w:tcPr>
          <w:p w:rsidR="00D3413F" w:rsidRPr="00E3587A" w:rsidRDefault="00D3413F" w:rsidP="00D3413F">
            <w:pPr>
              <w:rPr>
                <w:rFonts w:cs="Arial"/>
                <w:b/>
              </w:rPr>
            </w:pPr>
          </w:p>
        </w:tc>
      </w:tr>
    </w:tbl>
    <w:p w:rsidR="00EF13F2" w:rsidRDefault="00EF13F2" w:rsidP="005F0BD5"/>
    <w:p w:rsidR="00E3587A" w:rsidRDefault="00E3587A" w:rsidP="005F0BD5"/>
    <w:p w:rsidR="003142EF" w:rsidRPr="008D01A9" w:rsidRDefault="003142EF" w:rsidP="008D01A9">
      <w:r>
        <w:t>________________________</w:t>
      </w:r>
    </w:p>
    <w:p w:rsidR="003142EF" w:rsidRPr="00E8780A" w:rsidRDefault="001C42BD" w:rsidP="003142EF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  <w:rFonts w:ascii="Arial Narrow" w:hAnsi="Arial Narrow"/>
          <w:sz w:val="18"/>
          <w:szCs w:val="18"/>
        </w:rPr>
        <w:t xml:space="preserve">3 </w:t>
      </w:r>
      <w:r>
        <w:rPr>
          <w:rFonts w:ascii="Arial Narrow" w:hAnsi="Arial Narrow"/>
          <w:sz w:val="18"/>
          <w:szCs w:val="18"/>
        </w:rPr>
        <w:t xml:space="preserve"> </w:t>
      </w:r>
      <w:r w:rsidR="005028DD">
        <w:rPr>
          <w:rFonts w:ascii="Arial Narrow" w:hAnsi="Arial Narrow"/>
          <w:sz w:val="18"/>
          <w:szCs w:val="18"/>
        </w:rPr>
        <w:t>Uvádzať  sumu</w:t>
      </w:r>
      <w:r w:rsidR="003142EF" w:rsidRPr="003425D3">
        <w:rPr>
          <w:rFonts w:ascii="Arial Narrow" w:hAnsi="Arial Narrow"/>
          <w:sz w:val="18"/>
          <w:szCs w:val="18"/>
        </w:rPr>
        <w:t xml:space="preserve"> výdavkov uhradených </w:t>
      </w:r>
      <w:r w:rsidR="003142EF">
        <w:rPr>
          <w:rFonts w:ascii="Arial Narrow" w:hAnsi="Arial Narrow"/>
          <w:sz w:val="18"/>
          <w:szCs w:val="18"/>
        </w:rPr>
        <w:t xml:space="preserve"> zo strany </w:t>
      </w:r>
      <w:r w:rsidR="003142EF" w:rsidRPr="003425D3">
        <w:rPr>
          <w:rFonts w:ascii="Arial Narrow" w:hAnsi="Arial Narrow"/>
          <w:sz w:val="18"/>
          <w:szCs w:val="18"/>
        </w:rPr>
        <w:t>prijímateľ</w:t>
      </w:r>
      <w:r w:rsidR="003142EF">
        <w:rPr>
          <w:rFonts w:ascii="Arial Narrow" w:hAnsi="Arial Narrow"/>
          <w:sz w:val="18"/>
          <w:szCs w:val="18"/>
        </w:rPr>
        <w:t>a dodávateľom</w:t>
      </w:r>
      <w:r w:rsidR="003142EF" w:rsidRPr="003425D3">
        <w:rPr>
          <w:rFonts w:ascii="Arial Narrow" w:hAnsi="Arial Narrow"/>
          <w:sz w:val="18"/>
          <w:szCs w:val="18"/>
        </w:rPr>
        <w:t xml:space="preserve"> za sledované obdobie.</w:t>
      </w:r>
    </w:p>
    <w:p w:rsidR="003142EF" w:rsidRDefault="00E22E36" w:rsidP="003142EF">
      <w:pPr>
        <w:pStyle w:val="Textpoznmkypodiarou"/>
        <w:rPr>
          <w:rFonts w:ascii="Arial Narrow" w:hAnsi="Arial Narrow"/>
          <w:sz w:val="18"/>
          <w:szCs w:val="18"/>
        </w:rPr>
      </w:pPr>
      <w:r w:rsidRPr="00E22E36">
        <w:rPr>
          <w:rStyle w:val="Odkaznapoznmkupodiarou"/>
          <w:rFonts w:ascii="Arial Narrow" w:hAnsi="Arial Narrow"/>
          <w:sz w:val="18"/>
          <w:szCs w:val="18"/>
        </w:rPr>
        <w:t>4</w:t>
      </w:r>
      <w:r w:rsidR="003142EF">
        <w:t xml:space="preserve"> </w:t>
      </w:r>
      <w:r w:rsidR="003142EF">
        <w:rPr>
          <w:rFonts w:ascii="Arial Narrow" w:hAnsi="Arial Narrow"/>
          <w:sz w:val="18"/>
          <w:szCs w:val="18"/>
        </w:rPr>
        <w:t>U</w:t>
      </w:r>
      <w:r w:rsidR="002F7E3A">
        <w:rPr>
          <w:rFonts w:ascii="Arial Narrow" w:hAnsi="Arial Narrow"/>
          <w:sz w:val="18"/>
          <w:szCs w:val="18"/>
        </w:rPr>
        <w:t xml:space="preserve">vádzať </w:t>
      </w:r>
      <w:r w:rsidR="003142EF" w:rsidRPr="00DA76AB">
        <w:rPr>
          <w:rFonts w:ascii="Arial Narrow" w:hAnsi="Arial Narrow"/>
          <w:sz w:val="18"/>
          <w:szCs w:val="18"/>
        </w:rPr>
        <w:t xml:space="preserve"> sumu oprávnených výdavkov v </w:t>
      </w:r>
      <w:proofErr w:type="spellStart"/>
      <w:r w:rsidR="003142EF" w:rsidRPr="00DA76AB">
        <w:rPr>
          <w:rFonts w:ascii="Arial Narrow" w:hAnsi="Arial Narrow"/>
          <w:sz w:val="18"/>
          <w:szCs w:val="18"/>
        </w:rPr>
        <w:t>ŽoP</w:t>
      </w:r>
      <w:proofErr w:type="spellEnd"/>
      <w:r w:rsidR="003142EF" w:rsidRPr="00DA76AB">
        <w:rPr>
          <w:rFonts w:ascii="Arial Narrow" w:hAnsi="Arial Narrow"/>
          <w:sz w:val="18"/>
          <w:szCs w:val="18"/>
        </w:rPr>
        <w:t xml:space="preserve"> </w:t>
      </w:r>
      <w:r w:rsidR="002F7E3A">
        <w:rPr>
          <w:rFonts w:ascii="Arial Narrow" w:hAnsi="Arial Narrow"/>
          <w:sz w:val="18"/>
          <w:szCs w:val="18"/>
        </w:rPr>
        <w:t xml:space="preserve">        </w:t>
      </w:r>
    </w:p>
    <w:p w:rsidR="002F7E3A" w:rsidRDefault="002F7E3A" w:rsidP="003142EF">
      <w:pPr>
        <w:pStyle w:val="Textpoznmkypodiarou"/>
      </w:pPr>
      <w:r>
        <w:rPr>
          <w:rFonts w:ascii="Arial Narrow" w:hAnsi="Arial Narrow"/>
          <w:sz w:val="18"/>
          <w:szCs w:val="18"/>
          <w:vertAlign w:val="superscript"/>
        </w:rPr>
        <w:t xml:space="preserve">5 </w:t>
      </w:r>
      <w:r>
        <w:rPr>
          <w:rFonts w:ascii="Arial Narrow" w:hAnsi="Arial Narrow"/>
          <w:sz w:val="18"/>
          <w:szCs w:val="18"/>
        </w:rPr>
        <w:t xml:space="preserve"> </w:t>
      </w:r>
      <w:r w:rsidRPr="003425D3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ť </w:t>
      </w:r>
      <w:r w:rsidRPr="003425D3">
        <w:rPr>
          <w:rFonts w:ascii="Arial Narrow" w:hAnsi="Arial Narrow"/>
          <w:sz w:val="18"/>
          <w:szCs w:val="18"/>
        </w:rPr>
        <w:t xml:space="preserve"> iba v prípade nesúladu skutočného a plánovaného stavu finančnej realizácie aktivít projektu</w:t>
      </w:r>
      <w:r w:rsidRPr="00E60F5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podľa </w:t>
      </w:r>
      <w:r w:rsidRPr="00DA76AB">
        <w:rPr>
          <w:rFonts w:ascii="Arial Narrow" w:hAnsi="Arial Narrow"/>
          <w:sz w:val="18"/>
          <w:szCs w:val="18"/>
        </w:rPr>
        <w:t xml:space="preserve">plánu predkladania  </w:t>
      </w:r>
      <w:proofErr w:type="spellStart"/>
      <w:r w:rsidRPr="00DA76AB">
        <w:rPr>
          <w:rFonts w:ascii="Arial Narrow" w:hAnsi="Arial Narrow"/>
          <w:sz w:val="18"/>
          <w:szCs w:val="18"/>
        </w:rPr>
        <w:t>ŽoP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424516">
        <w:rPr>
          <w:rFonts w:ascii="Arial Narrow" w:hAnsi="Arial Narrow" w:cs="Arial"/>
          <w:bCs/>
          <w:sz w:val="18"/>
          <w:szCs w:val="18"/>
        </w:rPr>
        <w:t xml:space="preserve"> </w:t>
      </w:r>
      <w:r w:rsidRPr="003425D3">
        <w:rPr>
          <w:rFonts w:ascii="Arial Narrow" w:hAnsi="Arial Narrow" w:cs="Arial"/>
          <w:bCs/>
          <w:sz w:val="18"/>
          <w:szCs w:val="18"/>
        </w:rPr>
        <w:t>vrátane špecifikácie nápravných opatrení.</w:t>
      </w:r>
    </w:p>
    <w:p w:rsidR="00147445" w:rsidRDefault="00147445" w:rsidP="005F0BD5"/>
    <w:p w:rsidR="00E22E36" w:rsidRDefault="00E22E36" w:rsidP="005F0BD5"/>
    <w:p w:rsidR="00D70695" w:rsidRDefault="00147445" w:rsidP="005F0BD5">
      <w:r>
        <w:t>4</w:t>
      </w:r>
      <w:r w:rsidR="00C706AA">
        <w:t xml:space="preserve">. Prílohy </w:t>
      </w:r>
      <w:r w:rsidR="00402F93">
        <w:t xml:space="preserve"> </w:t>
      </w:r>
    </w:p>
    <w:p w:rsidR="00D70695" w:rsidRDefault="00D70695" w:rsidP="005F0BD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proofErr w:type="spellStart"/>
            <w:r w:rsidRPr="00C706AA">
              <w:rPr>
                <w:b/>
              </w:rPr>
              <w:t>P.č</w:t>
            </w:r>
            <w:proofErr w:type="spellEnd"/>
            <w:r w:rsidRPr="00C706AA">
              <w:rPr>
                <w:b/>
              </w:rPr>
              <w:t xml:space="preserve">. </w:t>
            </w:r>
          </w:p>
        </w:tc>
        <w:tc>
          <w:tcPr>
            <w:tcW w:w="8395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Názov prílohy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>
            <w:r>
              <w:t>1.</w:t>
            </w:r>
          </w:p>
        </w:tc>
        <w:tc>
          <w:tcPr>
            <w:tcW w:w="8395" w:type="dxa"/>
          </w:tcPr>
          <w:p w:rsidR="00C706AA" w:rsidRDefault="00C706AA" w:rsidP="00D62A6B">
            <w:r>
              <w:t xml:space="preserve">Plán predkladania </w:t>
            </w:r>
            <w:proofErr w:type="spellStart"/>
            <w:r>
              <w:t>ŽoP</w:t>
            </w:r>
            <w:proofErr w:type="spellEnd"/>
            <w:r>
              <w:t xml:space="preserve"> </w:t>
            </w:r>
            <w:r w:rsidR="00D62A6B">
              <w:t>na nasledujúci</w:t>
            </w:r>
            <w:r>
              <w:t xml:space="preserve"> mesiac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2. </w:t>
            </w:r>
          </w:p>
        </w:tc>
        <w:tc>
          <w:tcPr>
            <w:tcW w:w="8395" w:type="dxa"/>
          </w:tcPr>
          <w:p w:rsidR="00C706AA" w:rsidRDefault="0039448D" w:rsidP="00D2047B">
            <w:r>
              <w:t xml:space="preserve">Fotodokumentácia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3. </w:t>
            </w:r>
          </w:p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</w:tbl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147445" w:rsidRDefault="00147445" w:rsidP="005F0BD5"/>
    <w:p w:rsidR="00147445" w:rsidRDefault="00147445" w:rsidP="005F0BD5"/>
    <w:p w:rsidR="00147445" w:rsidRDefault="00147445" w:rsidP="005F0BD5"/>
    <w:p w:rsidR="00147445" w:rsidRDefault="00147445" w:rsidP="005F0BD5"/>
    <w:p w:rsidR="00C322BA" w:rsidRPr="00C65A6F" w:rsidRDefault="00C322BA" w:rsidP="005F0BD5">
      <w:bookmarkStart w:id="0" w:name="_GoBack"/>
      <w:bookmarkEnd w:id="0"/>
    </w:p>
    <w:p w:rsidR="00C65A6F" w:rsidRPr="00C65A6F" w:rsidRDefault="00C65A6F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Ind w:w="-3499" w:type="dxa"/>
        <w:tblLook w:val="01E0" w:firstRow="1" w:lastRow="1" w:firstColumn="1" w:lastColumn="1" w:noHBand="0" w:noVBand="0"/>
      </w:tblPr>
      <w:tblGrid>
        <w:gridCol w:w="8454"/>
      </w:tblGrid>
      <w:tr w:rsidR="003159AC" w:rsidRPr="00C65A6F" w:rsidTr="003159AC">
        <w:trPr>
          <w:jc w:val="center"/>
        </w:trPr>
        <w:tc>
          <w:tcPr>
            <w:tcW w:w="8454" w:type="dxa"/>
          </w:tcPr>
          <w:p w:rsidR="003159AC" w:rsidRPr="00BB7D2F" w:rsidRDefault="003159AC" w:rsidP="003C3464">
            <w:pPr>
              <w:spacing w:before="20" w:after="20"/>
              <w:jc w:val="both"/>
              <w:rPr>
                <w:rFonts w:cs="Arial"/>
                <w:b/>
                <w:bCs/>
              </w:rPr>
            </w:pPr>
            <w:r w:rsidRPr="002877FE">
              <w:rPr>
                <w:rFonts w:cs="Arial"/>
                <w:b/>
                <w:bCs/>
                <w:u w:val="single"/>
              </w:rPr>
              <w:t>Vypracoval:</w:t>
            </w:r>
            <w:r>
              <w:rPr>
                <w:rFonts w:cs="Arial"/>
                <w:b/>
                <w:bCs/>
              </w:rPr>
              <w:t xml:space="preserve"> Jozef Gajdoš</w:t>
            </w:r>
          </w:p>
        </w:tc>
      </w:tr>
      <w:tr w:rsidR="003159AC" w:rsidRPr="00C65A6F" w:rsidTr="003159AC">
        <w:trPr>
          <w:jc w:val="center"/>
        </w:trPr>
        <w:tc>
          <w:tcPr>
            <w:tcW w:w="8454" w:type="dxa"/>
          </w:tcPr>
          <w:p w:rsidR="003159AC" w:rsidRDefault="003159AC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  <w:r>
              <w:rPr>
                <w:rFonts w:cs="Arial"/>
              </w:rPr>
              <w:t xml:space="preserve"> projektový manažér</w:t>
            </w:r>
          </w:p>
          <w:p w:rsidR="003159AC" w:rsidRPr="00C65A6F" w:rsidRDefault="003159AC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vyhotoven</w:t>
            </w:r>
            <w:r>
              <w:rPr>
                <w:rFonts w:cs="Arial"/>
              </w:rPr>
              <w:t>ia: 6.7.2015</w:t>
            </w:r>
          </w:p>
        </w:tc>
      </w:tr>
      <w:tr w:rsidR="003159AC" w:rsidRPr="00C65A6F" w:rsidTr="003159AC">
        <w:trPr>
          <w:jc w:val="center"/>
        </w:trPr>
        <w:tc>
          <w:tcPr>
            <w:tcW w:w="8454" w:type="dxa"/>
            <w:vAlign w:val="bottom"/>
          </w:tcPr>
          <w:p w:rsidR="003159AC" w:rsidRPr="00C65A6F" w:rsidRDefault="003159AC" w:rsidP="003C3464">
            <w:pPr>
              <w:spacing w:before="240" w:after="240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</w:tr>
      <w:tr w:rsidR="003159AC" w:rsidRPr="00C65A6F" w:rsidTr="003159AC">
        <w:trPr>
          <w:jc w:val="center"/>
        </w:trPr>
        <w:tc>
          <w:tcPr>
            <w:tcW w:w="8454" w:type="dxa"/>
          </w:tcPr>
          <w:p w:rsidR="003159AC" w:rsidRPr="002877FE" w:rsidRDefault="003159AC" w:rsidP="00C65A6F">
            <w:pPr>
              <w:spacing w:before="20" w:after="20"/>
              <w:jc w:val="both"/>
              <w:rPr>
                <w:rFonts w:cs="Arial"/>
                <w:u w:val="single"/>
              </w:rPr>
            </w:pPr>
            <w:r w:rsidRPr="002877FE">
              <w:rPr>
                <w:rFonts w:cs="Arial"/>
                <w:b/>
                <w:bCs/>
                <w:u w:val="single"/>
              </w:rPr>
              <w:t>Schválil:</w:t>
            </w:r>
            <w:r>
              <w:rPr>
                <w:rFonts w:cs="Arial"/>
                <w:b/>
                <w:bCs/>
                <w:u w:val="single"/>
              </w:rPr>
              <w:t xml:space="preserve"> </w:t>
            </w:r>
            <w:r w:rsidRPr="003159AC">
              <w:rPr>
                <w:rFonts w:cs="Arial"/>
                <w:b/>
                <w:bCs/>
              </w:rPr>
              <w:t>Gabriel Semanišin</w:t>
            </w:r>
          </w:p>
        </w:tc>
      </w:tr>
      <w:tr w:rsidR="003159AC" w:rsidRPr="00C65A6F" w:rsidTr="003159AC">
        <w:trPr>
          <w:jc w:val="center"/>
        </w:trPr>
        <w:tc>
          <w:tcPr>
            <w:tcW w:w="8454" w:type="dxa"/>
          </w:tcPr>
          <w:p w:rsidR="003159AC" w:rsidRPr="00C65A6F" w:rsidRDefault="003159AC" w:rsidP="003C3464">
            <w:pPr>
              <w:spacing w:before="60" w:after="60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  <w:r>
              <w:rPr>
                <w:rFonts w:cs="Arial"/>
              </w:rPr>
              <w:t xml:space="preserve"> dekan PF UPJŠ</w:t>
            </w:r>
          </w:p>
        </w:tc>
      </w:tr>
      <w:tr w:rsidR="003159AC" w:rsidRPr="00C65A6F" w:rsidTr="003159AC">
        <w:trPr>
          <w:jc w:val="center"/>
        </w:trPr>
        <w:tc>
          <w:tcPr>
            <w:tcW w:w="8454" w:type="dxa"/>
          </w:tcPr>
          <w:p w:rsidR="003159AC" w:rsidRPr="00C65A6F" w:rsidRDefault="003159AC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schválenia:</w:t>
            </w:r>
            <w:r>
              <w:rPr>
                <w:rFonts w:cs="Arial"/>
              </w:rPr>
              <w:t xml:space="preserve"> 6.7.2015</w:t>
            </w:r>
          </w:p>
        </w:tc>
      </w:tr>
      <w:tr w:rsidR="003159AC" w:rsidRPr="00C65A6F" w:rsidTr="003159AC">
        <w:trPr>
          <w:jc w:val="center"/>
        </w:trPr>
        <w:tc>
          <w:tcPr>
            <w:tcW w:w="8454" w:type="dxa"/>
          </w:tcPr>
          <w:p w:rsidR="003159AC" w:rsidRPr="00C65A6F" w:rsidRDefault="003159AC" w:rsidP="003C3464">
            <w:pPr>
              <w:spacing w:before="240" w:after="24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</w:tr>
    </w:tbl>
    <w:p w:rsidR="008A54FD" w:rsidRDefault="008A54FD" w:rsidP="005F0BD5"/>
    <w:sectPr w:rsidR="008A54FD" w:rsidSect="0065201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22" w:rsidRDefault="00951A22" w:rsidP="009A7112">
      <w:r>
        <w:separator/>
      </w:r>
    </w:p>
  </w:endnote>
  <w:endnote w:type="continuationSeparator" w:id="0">
    <w:p w:rsidR="00951A22" w:rsidRDefault="00951A22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10748"/>
      <w:docPartObj>
        <w:docPartGallery w:val="Page Numbers (Bottom of Page)"/>
        <w:docPartUnique/>
      </w:docPartObj>
    </w:sdtPr>
    <w:sdtContent>
      <w:p w:rsidR="00951A22" w:rsidRDefault="00951A2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9AC">
          <w:rPr>
            <w:noProof/>
          </w:rPr>
          <w:t>15</w:t>
        </w:r>
        <w:r>
          <w:fldChar w:fldCharType="end"/>
        </w:r>
      </w:p>
    </w:sdtContent>
  </w:sdt>
  <w:p w:rsidR="00951A22" w:rsidRDefault="00951A2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22" w:rsidRDefault="00951A22" w:rsidP="009A7112">
      <w:r>
        <w:separator/>
      </w:r>
    </w:p>
  </w:footnote>
  <w:footnote w:type="continuationSeparator" w:id="0">
    <w:p w:rsidR="00951A22" w:rsidRDefault="00951A22" w:rsidP="009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22" w:rsidRDefault="00951A22">
    <w:pPr>
      <w:pStyle w:val="Hlavika"/>
    </w:pPr>
    <w:r>
      <w:t>Kód ITMS: 26220220182</w:t>
    </w:r>
  </w:p>
  <w:p w:rsidR="00951A22" w:rsidRDefault="00951A22">
    <w:pPr>
      <w:pStyle w:val="Hlavika"/>
    </w:pPr>
  </w:p>
  <w:p w:rsidR="00951A22" w:rsidRDefault="00951A22">
    <w:pPr>
      <w:pStyle w:val="Hlavika"/>
    </w:pPr>
  </w:p>
  <w:p w:rsidR="00951A22" w:rsidRDefault="00951A2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A6A"/>
    <w:multiLevelType w:val="hybridMultilevel"/>
    <w:tmpl w:val="F5043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A59D7"/>
    <w:multiLevelType w:val="hybridMultilevel"/>
    <w:tmpl w:val="C36A5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84412"/>
    <w:multiLevelType w:val="hybridMultilevel"/>
    <w:tmpl w:val="062E5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2134D"/>
    <w:multiLevelType w:val="hybridMultilevel"/>
    <w:tmpl w:val="2FD0A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10B1"/>
    <w:multiLevelType w:val="hybridMultilevel"/>
    <w:tmpl w:val="37F63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F240C"/>
    <w:multiLevelType w:val="hybridMultilevel"/>
    <w:tmpl w:val="D2C45C8C"/>
    <w:lvl w:ilvl="0" w:tplc="86224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35D70"/>
    <w:multiLevelType w:val="hybridMultilevel"/>
    <w:tmpl w:val="C72C7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2"/>
    <w:rsid w:val="00015DFB"/>
    <w:rsid w:val="000A79B4"/>
    <w:rsid w:val="000E7542"/>
    <w:rsid w:val="001272BD"/>
    <w:rsid w:val="00147445"/>
    <w:rsid w:val="00176EF5"/>
    <w:rsid w:val="0018056B"/>
    <w:rsid w:val="001846EB"/>
    <w:rsid w:val="001A3961"/>
    <w:rsid w:val="001B00A0"/>
    <w:rsid w:val="001B5E90"/>
    <w:rsid w:val="001C42BD"/>
    <w:rsid w:val="00204800"/>
    <w:rsid w:val="00206D7D"/>
    <w:rsid w:val="0023192C"/>
    <w:rsid w:val="00243618"/>
    <w:rsid w:val="002877FE"/>
    <w:rsid w:val="002A0EC5"/>
    <w:rsid w:val="002A7B27"/>
    <w:rsid w:val="002C379F"/>
    <w:rsid w:val="002F02C7"/>
    <w:rsid w:val="002F7E3A"/>
    <w:rsid w:val="003142EF"/>
    <w:rsid w:val="003159AC"/>
    <w:rsid w:val="003272E8"/>
    <w:rsid w:val="00331EFA"/>
    <w:rsid w:val="00365918"/>
    <w:rsid w:val="00370C82"/>
    <w:rsid w:val="0039448D"/>
    <w:rsid w:val="003A7B45"/>
    <w:rsid w:val="003C3464"/>
    <w:rsid w:val="003D7C31"/>
    <w:rsid w:val="00400EAF"/>
    <w:rsid w:val="00402F93"/>
    <w:rsid w:val="00430090"/>
    <w:rsid w:val="00442CAC"/>
    <w:rsid w:val="0045023A"/>
    <w:rsid w:val="00454E9A"/>
    <w:rsid w:val="00461344"/>
    <w:rsid w:val="00471CCC"/>
    <w:rsid w:val="004822D7"/>
    <w:rsid w:val="004A3691"/>
    <w:rsid w:val="004B4C86"/>
    <w:rsid w:val="004E4BD7"/>
    <w:rsid w:val="005028DD"/>
    <w:rsid w:val="0053480B"/>
    <w:rsid w:val="00554B04"/>
    <w:rsid w:val="005570F6"/>
    <w:rsid w:val="00561E56"/>
    <w:rsid w:val="00576122"/>
    <w:rsid w:val="005E4400"/>
    <w:rsid w:val="005F0BD5"/>
    <w:rsid w:val="006317A1"/>
    <w:rsid w:val="00647E2E"/>
    <w:rsid w:val="0065201F"/>
    <w:rsid w:val="00672D18"/>
    <w:rsid w:val="00680FE9"/>
    <w:rsid w:val="006D6EB3"/>
    <w:rsid w:val="006E4A8E"/>
    <w:rsid w:val="00717D64"/>
    <w:rsid w:val="0073299C"/>
    <w:rsid w:val="00735CA1"/>
    <w:rsid w:val="00737453"/>
    <w:rsid w:val="00743E23"/>
    <w:rsid w:val="007454CC"/>
    <w:rsid w:val="00755127"/>
    <w:rsid w:val="00763AA8"/>
    <w:rsid w:val="007760B0"/>
    <w:rsid w:val="0077631A"/>
    <w:rsid w:val="007873BB"/>
    <w:rsid w:val="00797159"/>
    <w:rsid w:val="007C75FF"/>
    <w:rsid w:val="007F055E"/>
    <w:rsid w:val="0080026A"/>
    <w:rsid w:val="008A54FD"/>
    <w:rsid w:val="008D01A9"/>
    <w:rsid w:val="009048CB"/>
    <w:rsid w:val="00907C45"/>
    <w:rsid w:val="00915F13"/>
    <w:rsid w:val="0092439F"/>
    <w:rsid w:val="009262DA"/>
    <w:rsid w:val="00951A22"/>
    <w:rsid w:val="00956981"/>
    <w:rsid w:val="00977814"/>
    <w:rsid w:val="009A212B"/>
    <w:rsid w:val="009A7112"/>
    <w:rsid w:val="00A363AC"/>
    <w:rsid w:val="00A54851"/>
    <w:rsid w:val="00A6336F"/>
    <w:rsid w:val="00AC67D9"/>
    <w:rsid w:val="00B00827"/>
    <w:rsid w:val="00B53979"/>
    <w:rsid w:val="00BB7D2F"/>
    <w:rsid w:val="00BD6D1D"/>
    <w:rsid w:val="00C322BA"/>
    <w:rsid w:val="00C65A6F"/>
    <w:rsid w:val="00C706AA"/>
    <w:rsid w:val="00C7538A"/>
    <w:rsid w:val="00D069D0"/>
    <w:rsid w:val="00D2047B"/>
    <w:rsid w:val="00D3413F"/>
    <w:rsid w:val="00D62A6B"/>
    <w:rsid w:val="00D70695"/>
    <w:rsid w:val="00D939DF"/>
    <w:rsid w:val="00DB1E9B"/>
    <w:rsid w:val="00DC54AB"/>
    <w:rsid w:val="00DD3B3F"/>
    <w:rsid w:val="00DE13BB"/>
    <w:rsid w:val="00DF7C69"/>
    <w:rsid w:val="00E12A9A"/>
    <w:rsid w:val="00E22E36"/>
    <w:rsid w:val="00E3137C"/>
    <w:rsid w:val="00E3587A"/>
    <w:rsid w:val="00E46773"/>
    <w:rsid w:val="00E54AEF"/>
    <w:rsid w:val="00EA150F"/>
    <w:rsid w:val="00EA760B"/>
    <w:rsid w:val="00EB1451"/>
    <w:rsid w:val="00EF13F2"/>
    <w:rsid w:val="00F10985"/>
    <w:rsid w:val="00F42BEC"/>
    <w:rsid w:val="00F554C8"/>
    <w:rsid w:val="00F62CE5"/>
    <w:rsid w:val="00F841E0"/>
    <w:rsid w:val="00FA4E26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2D18"/>
    <w:rPr>
      <w:color w:val="008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2D18"/>
    <w:rPr>
      <w:color w:val="5EAE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2D18"/>
    <w:rPr>
      <w:color w:val="008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2D18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thefunds/regional/index_sk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indico.saske.sk/event/4/timetable/#2015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hep.lu.se//contributionDisplay.py?contribId=30&amp;sessionId=16&amp;confId=15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du.sk/op-vyskum-a&#160;vyvoj-erd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dico.hep.lu.se//conferenceDisplay.py?confId=1578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inedu.s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E818-A956-476C-9E0E-5F30CC35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Hegedüš Roman</dc:creator>
  <cp:lastModifiedBy>dekanat</cp:lastModifiedBy>
  <cp:revision>31</cp:revision>
  <cp:lastPrinted>2015-03-10T08:47:00Z</cp:lastPrinted>
  <dcterms:created xsi:type="dcterms:W3CDTF">2015-03-10T15:47:00Z</dcterms:created>
  <dcterms:modified xsi:type="dcterms:W3CDTF">2015-07-06T07:19:00Z</dcterms:modified>
</cp:coreProperties>
</file>