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D5" w:rsidRDefault="005F0BD5" w:rsidP="005F0BD5">
      <w:pPr>
        <w:spacing w:before="40" w:after="20"/>
        <w:jc w:val="center"/>
        <w:rPr>
          <w:rFonts w:eastAsiaTheme="minorEastAsia"/>
          <w:noProof/>
          <w:color w:val="1F497D"/>
          <w:lang w:eastAsia="sk-SK"/>
        </w:rPr>
      </w:pPr>
      <w:r>
        <w:rPr>
          <w:rFonts w:eastAsiaTheme="minorEastAsia"/>
          <w:noProof/>
          <w:lang w:eastAsia="sk-SK"/>
        </w:rPr>
        <w:drawing>
          <wp:inline distT="0" distB="0" distL="0" distR="0" wp14:anchorId="15FC9D46" wp14:editId="172A405A">
            <wp:extent cx="942975" cy="800100"/>
            <wp:effectExtent l="0" t="0" r="9525" b="0"/>
            <wp:docPr id="3" name="Obrázok 3" descr="cid:image001.png@01CFAA70.DC100450">
              <a:hlinkClick xmlns:a="http://schemas.openxmlformats.org/drawingml/2006/main" r:id="rId9" tooltip="MŠVVaŠ S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CFAA70.DC100450">
                      <a:hlinkClick r:id="rId9" tooltip="MŠVVaŠ S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6B553A1C" wp14:editId="3FA33A69">
            <wp:extent cx="809625" cy="809625"/>
            <wp:effectExtent l="0" t="0" r="9525" b="9525"/>
            <wp:docPr id="2" name="Obrázok 2">
              <a:hlinkClick xmlns:a="http://schemas.openxmlformats.org/drawingml/2006/main" r:id="rId11" tooltip="OP Výskum a vývoj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>
                      <a:hlinkClick r:id="rId11" tooltip="OP Výskum a vývoj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color w:val="1F497D"/>
          <w:lang w:eastAsia="sk-SK"/>
        </w:rPr>
        <w:drawing>
          <wp:inline distT="0" distB="0" distL="0" distR="0" wp14:anchorId="69DADF31" wp14:editId="0CB14AF9">
            <wp:extent cx="876300" cy="809625"/>
            <wp:effectExtent l="0" t="0" r="0" b="9525"/>
            <wp:docPr id="1" name="Obrázok 1">
              <a:hlinkClick xmlns:a="http://schemas.openxmlformats.org/drawingml/2006/main" r:id="rId13" tooltip="Európsky fond regionálneho rozvoj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>
                      <a:hlinkClick r:id="rId13" tooltip="Európsky fond regionálneho rozvoja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D5" w:rsidRDefault="005F0BD5" w:rsidP="005F0BD5">
      <w:pPr>
        <w:jc w:val="center"/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</w:p>
    <w:p w:rsidR="00A363AC" w:rsidRDefault="005F0BD5" w:rsidP="005F0BD5">
      <w:pPr>
        <w:jc w:val="center"/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  <w:r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  <w:t>Podporujeme výskumné aktivity na Slovensku/Projekt je spolufinancovaný zo zdrojov EÚ</w:t>
      </w:r>
    </w:p>
    <w:p w:rsidR="005F0BD5" w:rsidRDefault="005F0BD5" w:rsidP="005F0BD5">
      <w:pPr>
        <w:rPr>
          <w:rFonts w:eastAsiaTheme="minorEastAsia"/>
          <w:b/>
          <w:bCs/>
          <w:i/>
          <w:iCs/>
          <w:noProof/>
          <w:color w:val="7F7F7F"/>
          <w:sz w:val="20"/>
          <w:szCs w:val="20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</w:p>
    <w:p w:rsidR="00176EF5" w:rsidRPr="00176EF5" w:rsidRDefault="005F0BD5" w:rsidP="005F0BD5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SPRÁVA O IMPLEM</w:t>
      </w:r>
      <w:r w:rsidR="00243618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E</w:t>
      </w: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 xml:space="preserve">NTÁCII PROJEKTU </w:t>
      </w:r>
    </w:p>
    <w:p w:rsidR="005F0BD5" w:rsidRPr="00176EF5" w:rsidRDefault="005F0BD5" w:rsidP="00680FE9">
      <w:pPr>
        <w:jc w:val="center"/>
        <w:rPr>
          <w:rFonts w:eastAsiaTheme="minorEastAsia"/>
          <w:b/>
          <w:bCs/>
          <w:iCs/>
          <w:noProof/>
          <w:sz w:val="28"/>
          <w:szCs w:val="28"/>
          <w:lang w:eastAsia="sk-SK"/>
        </w:rPr>
      </w:pP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k</w:t>
      </w:r>
      <w:r w:rsidR="005E4400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 31.5</w:t>
      </w:r>
      <w:r w:rsidR="00DF7C69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.</w:t>
      </w:r>
      <w:r w:rsidRPr="00176EF5">
        <w:rPr>
          <w:rFonts w:eastAsiaTheme="minorEastAsia"/>
          <w:b/>
          <w:bCs/>
          <w:iCs/>
          <w:noProof/>
          <w:sz w:val="28"/>
          <w:szCs w:val="28"/>
          <w:lang w:eastAsia="sk-SK"/>
        </w:rPr>
        <w:t>2015</w:t>
      </w: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Default="00176EF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6E4A8E" w:rsidRDefault="006E4A8E" w:rsidP="0065201F">
      <w:pPr>
        <w:rPr>
          <w:rFonts w:eastAsiaTheme="minorEastAsia"/>
          <w:bCs/>
          <w:iCs/>
          <w:noProof/>
          <w:lang w:eastAsia="sk-SK"/>
        </w:rPr>
      </w:pPr>
    </w:p>
    <w:p w:rsidR="006E4A8E" w:rsidRDefault="006E4A8E" w:rsidP="0065201F">
      <w:pPr>
        <w:rPr>
          <w:rFonts w:eastAsiaTheme="minorEastAsia"/>
          <w:bCs/>
          <w:iCs/>
          <w:noProof/>
          <w:lang w:eastAsia="sk-SK"/>
        </w:rPr>
      </w:pPr>
    </w:p>
    <w:p w:rsidR="006E4A8E" w:rsidRDefault="006E4A8E" w:rsidP="006E4A8E">
      <w:pPr>
        <w:rPr>
          <w:rFonts w:eastAsiaTheme="minorEastAsia"/>
          <w:bCs/>
          <w:iCs/>
          <w:noProof/>
          <w:lang w:eastAsia="sk-SK"/>
        </w:rPr>
      </w:pPr>
    </w:p>
    <w:p w:rsidR="00D70695" w:rsidRDefault="00D70695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6E4A8E" w:rsidRDefault="006E4A8E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C706AA" w:rsidRDefault="00C706AA" w:rsidP="005F0BD5">
      <w:pPr>
        <w:jc w:val="center"/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176EF5" w:rsidRPr="00176EF5" w:rsidRDefault="00176EF5" w:rsidP="002877FE">
      <w:pPr>
        <w:rPr>
          <w:rFonts w:eastAsiaTheme="minorEastAsia"/>
          <w:bCs/>
          <w:iCs/>
          <w:noProof/>
          <w:sz w:val="28"/>
          <w:szCs w:val="28"/>
          <w:lang w:eastAsia="sk-SK"/>
        </w:rPr>
      </w:pPr>
    </w:p>
    <w:p w:rsidR="005F0BD5" w:rsidRDefault="002877FE" w:rsidP="005F0BD5">
      <w:pPr>
        <w:rPr>
          <w:rFonts w:eastAsiaTheme="minorEastAsia"/>
          <w:bCs/>
          <w:iCs/>
          <w:noProof/>
          <w:lang w:eastAsia="sk-SK"/>
        </w:rPr>
      </w:pPr>
      <w:r w:rsidRPr="002877FE">
        <w:rPr>
          <w:rFonts w:eastAsiaTheme="minorEastAsia"/>
          <w:bCs/>
          <w:iCs/>
          <w:noProof/>
          <w:lang w:eastAsia="sk-SK"/>
        </w:rPr>
        <w:t>1.</w:t>
      </w:r>
      <w:r w:rsidR="00D70695">
        <w:rPr>
          <w:rFonts w:eastAsiaTheme="minorEastAsia"/>
          <w:bCs/>
          <w:iCs/>
          <w:noProof/>
          <w:lang w:eastAsia="sk-SK"/>
        </w:rPr>
        <w:t xml:space="preserve"> Základné údaje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Názov projektu </w:t>
            </w:r>
          </w:p>
        </w:tc>
        <w:tc>
          <w:tcPr>
            <w:tcW w:w="7229" w:type="dxa"/>
          </w:tcPr>
          <w:p w:rsidR="005F0BD5" w:rsidRDefault="006D6EB3" w:rsidP="005F0BD5">
            <w:r w:rsidRPr="006D6EB3">
              <w:t>Univerzitný vedecký park TECHNICOM pre inovačné aplikácie s podporou znalostných technológií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Kód ITMS projektu </w:t>
            </w:r>
          </w:p>
        </w:tc>
        <w:tc>
          <w:tcPr>
            <w:tcW w:w="7229" w:type="dxa"/>
          </w:tcPr>
          <w:p w:rsidR="005F0BD5" w:rsidRDefault="00442CAC" w:rsidP="005F0BD5">
            <w:r>
              <w:t>26220220182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Kód výzvy </w:t>
            </w:r>
          </w:p>
        </w:tc>
        <w:tc>
          <w:tcPr>
            <w:tcW w:w="7229" w:type="dxa"/>
          </w:tcPr>
          <w:p w:rsidR="005F0BD5" w:rsidRDefault="00442CAC" w:rsidP="005F0BD5">
            <w:r>
              <w:t>OPVaV-2012/2.2/08-RO</w:t>
            </w:r>
          </w:p>
        </w:tc>
      </w:tr>
      <w:tr w:rsidR="00D70695" w:rsidTr="003272E8">
        <w:tc>
          <w:tcPr>
            <w:tcW w:w="3261" w:type="dxa"/>
            <w:shd w:val="clear" w:color="auto" w:fill="9BD4F9" w:themeFill="background2" w:themeFillShade="E6"/>
          </w:tcPr>
          <w:p w:rsidR="00D70695" w:rsidRPr="00176EF5" w:rsidRDefault="00D70695" w:rsidP="005F0BD5">
            <w:pPr>
              <w:rPr>
                <w:b/>
              </w:rPr>
            </w:pPr>
            <w:r>
              <w:rPr>
                <w:b/>
              </w:rPr>
              <w:t xml:space="preserve">Výška NFP </w:t>
            </w:r>
          </w:p>
        </w:tc>
        <w:tc>
          <w:tcPr>
            <w:tcW w:w="7229" w:type="dxa"/>
          </w:tcPr>
          <w:p w:rsidR="00D70695" w:rsidRDefault="0080026A" w:rsidP="005F0BD5">
            <w:r w:rsidRPr="0080026A">
              <w:t>39</w:t>
            </w:r>
            <w:r>
              <w:t> </w:t>
            </w:r>
            <w:r w:rsidRPr="0080026A">
              <w:t>648</w:t>
            </w:r>
            <w:r>
              <w:t xml:space="preserve"> </w:t>
            </w:r>
            <w:r w:rsidRPr="0080026A">
              <w:t>903,64</w:t>
            </w:r>
            <w:r>
              <w:t xml:space="preserve"> EUR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Číslo zmluvy o poskytnutí NFP </w:t>
            </w:r>
          </w:p>
        </w:tc>
        <w:tc>
          <w:tcPr>
            <w:tcW w:w="7229" w:type="dxa"/>
          </w:tcPr>
          <w:p w:rsidR="005F0BD5" w:rsidRDefault="0080026A" w:rsidP="005F0BD5">
            <w:r>
              <w:t>OPVaV/8/2013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5F0BD5" w:rsidP="005F0BD5">
            <w:pPr>
              <w:rPr>
                <w:b/>
              </w:rPr>
            </w:pPr>
            <w:r w:rsidRPr="00176EF5">
              <w:rPr>
                <w:b/>
              </w:rPr>
              <w:t xml:space="preserve">Prijímateľ </w:t>
            </w:r>
          </w:p>
        </w:tc>
        <w:tc>
          <w:tcPr>
            <w:tcW w:w="7229" w:type="dxa"/>
          </w:tcPr>
          <w:p w:rsidR="005F0BD5" w:rsidRDefault="0080026A" w:rsidP="005F0BD5">
            <w:r w:rsidRPr="0080026A">
              <w:t>Technická univerzita v Košiciach</w:t>
            </w:r>
          </w:p>
        </w:tc>
      </w:tr>
      <w:tr w:rsidR="005F0BD5" w:rsidTr="003272E8">
        <w:tc>
          <w:tcPr>
            <w:tcW w:w="3261" w:type="dxa"/>
            <w:shd w:val="clear" w:color="auto" w:fill="9BD4F9" w:themeFill="background2" w:themeFillShade="E6"/>
          </w:tcPr>
          <w:p w:rsidR="005F0BD5" w:rsidRPr="00176EF5" w:rsidRDefault="004822D7" w:rsidP="005F0BD5">
            <w:pPr>
              <w:rPr>
                <w:b/>
              </w:rPr>
            </w:pPr>
            <w:r>
              <w:rPr>
                <w:b/>
              </w:rPr>
              <w:t>Partner 1</w:t>
            </w:r>
          </w:p>
        </w:tc>
        <w:tc>
          <w:tcPr>
            <w:tcW w:w="7229" w:type="dxa"/>
          </w:tcPr>
          <w:p w:rsidR="005F0BD5" w:rsidRDefault="00DF7C69" w:rsidP="005F0BD5">
            <w:r w:rsidRPr="00DF7C69">
              <w:t>Univerzita Pavla Jozefa Šafárika v Košiciach</w:t>
            </w:r>
          </w:p>
        </w:tc>
      </w:tr>
      <w:tr w:rsidR="004822D7" w:rsidTr="003272E8">
        <w:tc>
          <w:tcPr>
            <w:tcW w:w="3261" w:type="dxa"/>
            <w:shd w:val="clear" w:color="auto" w:fill="9BD4F9" w:themeFill="background2" w:themeFillShade="E6"/>
          </w:tcPr>
          <w:p w:rsidR="004822D7" w:rsidRDefault="004822D7" w:rsidP="005F0BD5">
            <w:pPr>
              <w:rPr>
                <w:b/>
              </w:rPr>
            </w:pPr>
            <w:r>
              <w:rPr>
                <w:b/>
              </w:rPr>
              <w:t>Partner 2</w:t>
            </w:r>
          </w:p>
        </w:tc>
        <w:tc>
          <w:tcPr>
            <w:tcW w:w="7229" w:type="dxa"/>
          </w:tcPr>
          <w:p w:rsidR="004822D7" w:rsidRDefault="00DF7C69" w:rsidP="005F0BD5">
            <w:r w:rsidRPr="00DF7C69">
              <w:t>Prešovská univerzita v Prešove</w:t>
            </w:r>
          </w:p>
        </w:tc>
      </w:tr>
    </w:tbl>
    <w:p w:rsidR="002877FE" w:rsidRDefault="002877FE" w:rsidP="005F0BD5"/>
    <w:p w:rsidR="00E3137C" w:rsidRDefault="00E3137C" w:rsidP="005F0BD5"/>
    <w:p w:rsidR="00204800" w:rsidRDefault="00204800" w:rsidP="005F0BD5"/>
    <w:p w:rsidR="006E4A8E" w:rsidRDefault="006E4A8E" w:rsidP="005F0BD5"/>
    <w:p w:rsidR="0065201F" w:rsidRDefault="0065201F" w:rsidP="0065201F">
      <w:pPr>
        <w:rPr>
          <w:rFonts w:eastAsiaTheme="minorEastAsia"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lastRenderedPageBreak/>
        <w:t xml:space="preserve">2. </w:t>
      </w:r>
      <w:r w:rsidR="00365918">
        <w:rPr>
          <w:rFonts w:eastAsiaTheme="minorEastAsia"/>
          <w:bCs/>
          <w:iCs/>
          <w:noProof/>
          <w:lang w:eastAsia="sk-SK"/>
        </w:rPr>
        <w:t>Vecný pokrok v realizácii</w:t>
      </w:r>
      <w:r>
        <w:rPr>
          <w:rFonts w:eastAsiaTheme="minorEastAsia"/>
          <w:bCs/>
          <w:iCs/>
          <w:noProof/>
          <w:lang w:eastAsia="sk-SK"/>
        </w:rPr>
        <w:t xml:space="preserve"> aktivít</w:t>
      </w:r>
      <w:r w:rsidR="00365918">
        <w:rPr>
          <w:rFonts w:eastAsiaTheme="minorEastAsia"/>
          <w:bCs/>
          <w:iCs/>
          <w:noProof/>
          <w:lang w:eastAsia="sk-SK"/>
        </w:rPr>
        <w:t xml:space="preserve"> projektu </w:t>
      </w:r>
      <w:r>
        <w:rPr>
          <w:rFonts w:eastAsiaTheme="minorEastAsia"/>
          <w:bCs/>
          <w:iCs/>
          <w:noProof/>
          <w:lang w:eastAsia="sk-SK"/>
        </w:rPr>
        <w:t xml:space="preserve"> </w:t>
      </w:r>
      <w:r w:rsidR="00365918">
        <w:rPr>
          <w:rFonts w:eastAsiaTheme="minorEastAsia"/>
          <w:bCs/>
          <w:iCs/>
          <w:noProof/>
          <w:lang w:eastAsia="sk-SK"/>
        </w:rPr>
        <w:t>a rizikové oblasti</w:t>
      </w:r>
      <w:r>
        <w:rPr>
          <w:rFonts w:eastAsiaTheme="minorEastAsia"/>
          <w:bCs/>
          <w:iCs/>
          <w:noProof/>
          <w:lang w:eastAsia="sk-SK"/>
        </w:rPr>
        <w:t xml:space="preserve"> </w:t>
      </w:r>
    </w:p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2660"/>
        <w:gridCol w:w="7830"/>
      </w:tblGrid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center"/>
          </w:tcPr>
          <w:p w:rsidR="0065201F" w:rsidRPr="00EA150F" w:rsidRDefault="0065201F" w:rsidP="003272E8">
            <w:pPr>
              <w:ind w:left="-709" w:firstLine="709"/>
              <w:jc w:val="center"/>
              <w:rPr>
                <w:b/>
                <w:vertAlign w:val="superscript"/>
              </w:rPr>
            </w:pP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>Vecn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>ý pokrok v realizácii</w:t>
            </w: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aktivít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projektu</w:t>
            </w:r>
            <w:r w:rsidRPr="0065201F">
              <w:rPr>
                <w:rFonts w:eastAsiaTheme="minorEastAsia"/>
                <w:b/>
                <w:bCs/>
                <w:iCs/>
                <w:noProof/>
                <w:lang w:eastAsia="sk-SK"/>
              </w:rPr>
              <w:t xml:space="preserve"> </w:t>
            </w:r>
            <w:r w:rsidR="00365918">
              <w:rPr>
                <w:rFonts w:eastAsiaTheme="minorEastAsia"/>
                <w:b/>
                <w:bCs/>
                <w:iCs/>
                <w:noProof/>
                <w:lang w:eastAsia="sk-SK"/>
              </w:rPr>
              <w:t>a rizikové oblasti</w:t>
            </w:r>
            <w:r w:rsidR="00EA150F">
              <w:rPr>
                <w:rFonts w:eastAsiaTheme="minorEastAsia"/>
                <w:b/>
                <w:bCs/>
                <w:iCs/>
                <w:noProof/>
                <w:vertAlign w:val="superscript"/>
                <w:lang w:eastAsia="sk-SK"/>
              </w:rPr>
              <w:t>1</w:t>
            </w:r>
          </w:p>
        </w:tc>
      </w:tr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center"/>
          </w:tcPr>
          <w:p w:rsidR="0065201F" w:rsidRPr="0065201F" w:rsidRDefault="0065201F" w:rsidP="0065201F">
            <w:pPr>
              <w:jc w:val="center"/>
              <w:rPr>
                <w:b/>
              </w:rPr>
            </w:pPr>
            <w:r w:rsidRPr="0065201F">
              <w:rPr>
                <w:b/>
              </w:rPr>
              <w:t>Hlavné aktivity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B53979">
            <w:r w:rsidRPr="006D6EB3">
              <w:t>Aktivita 1.1 Etablovanie UVP TECHNICOM v súlade s adekvátnymi princípmi vedeckého manažmentu.</w:t>
            </w:r>
          </w:p>
          <w:p w:rsidR="00E12A9A" w:rsidRPr="00E12A9A" w:rsidRDefault="00E12A9A" w:rsidP="00B53979">
            <w:r>
              <w:rPr>
                <w:sz w:val="20"/>
                <w:szCs w:val="20"/>
              </w:rPr>
              <w:t>(</w:t>
            </w:r>
            <w:r w:rsidRPr="00E12A9A">
              <w:rPr>
                <w:sz w:val="20"/>
                <w:szCs w:val="20"/>
              </w:rPr>
              <w:t>doc. Ing. František Jakab,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30" w:type="dxa"/>
          </w:tcPr>
          <w:p w:rsidR="00204800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5F0BD5">
            <w:pPr>
              <w:rPr>
                <w:u w:val="single"/>
              </w:rPr>
            </w:pPr>
          </w:p>
          <w:p w:rsidR="0065201F" w:rsidRPr="00204800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="00647E2E" w:rsidRPr="00204800">
              <w:rPr>
                <w:u w:val="single"/>
              </w:rPr>
              <w:t>osiahnuté výsledky aktivity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EA150F" w:rsidRPr="00204800" w:rsidRDefault="00204800" w:rsidP="005F0BD5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="00647E2E" w:rsidRPr="00204800">
              <w:rPr>
                <w:u w:val="single"/>
              </w:rPr>
              <w:t>izikové oblasti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647E2E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="00647E2E" w:rsidRPr="00204800">
              <w:rPr>
                <w:u w:val="single"/>
              </w:rPr>
              <w:t>k je realizácia aktivít v omeškaní, je potrebné uviesť dôvody omeškania a aké boli prijaté opatrenia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1.2 Metodická, odborná a realizačná podpora riešenia predkladaného projektu</w:t>
            </w:r>
          </w:p>
          <w:p w:rsidR="00E12A9A" w:rsidRDefault="00E12A9A" w:rsidP="005F0BD5">
            <w:r w:rsidRPr="00E12A9A">
              <w:t xml:space="preserve">(PhDr. Branislav </w:t>
            </w:r>
            <w:proofErr w:type="spellStart"/>
            <w:r w:rsidRPr="00E12A9A">
              <w:t>Bonk</w:t>
            </w:r>
            <w:proofErr w:type="spellEnd"/>
            <w:r w:rsidRPr="00E12A9A">
              <w:t>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1.3 Príprava a zabezpečenie služieb pre udržateľný chod UVP TECHNICOM</w:t>
            </w:r>
          </w:p>
          <w:p w:rsidR="00E12A9A" w:rsidRDefault="00E12A9A" w:rsidP="005F0BD5">
            <w:r>
              <w:rPr>
                <w:sz w:val="20"/>
                <w:szCs w:val="20"/>
              </w:rPr>
              <w:t>(</w:t>
            </w:r>
            <w:r w:rsidRPr="00E12A9A">
              <w:rPr>
                <w:sz w:val="20"/>
                <w:szCs w:val="20"/>
              </w:rPr>
              <w:t>doc. Ing. František Jakab, PhD.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2.1. Vybudovanie stavebných objektov a príslušnej infraštruktúry v areáli TUKE</w:t>
            </w:r>
          </w:p>
          <w:p w:rsidR="00E12A9A" w:rsidRDefault="00E12A9A" w:rsidP="005F0BD5">
            <w:r w:rsidRPr="00E12A9A">
              <w:t xml:space="preserve">(Ing. Marcel </w:t>
            </w:r>
            <w:proofErr w:type="spellStart"/>
            <w:r w:rsidRPr="00E12A9A">
              <w:t>Behún</w:t>
            </w:r>
            <w:proofErr w:type="spellEnd"/>
            <w:r w:rsidRPr="00E12A9A">
              <w:t>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5F0BD5"/>
          <w:p w:rsidR="0065201F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S</w:t>
            </w:r>
            <w:r w:rsidR="00717D64" w:rsidRPr="00204800">
              <w:rPr>
                <w:u w:val="single"/>
              </w:rPr>
              <w:t>účasný stav verejného obstarávania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EA150F" w:rsidRPr="00204800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P</w:t>
            </w:r>
            <w:r w:rsidR="00647E2E" w:rsidRPr="00204800">
              <w:rPr>
                <w:u w:val="single"/>
              </w:rPr>
              <w:t>okrok v stavebných činnostiach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755127" w:rsidRDefault="00755127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  <w:p w:rsidR="00755127" w:rsidRP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 xml:space="preserve">Aktivita 2.2. Vybavenie objektov UVP na TUKE prístrojovou, IKT a špecializovanou technikou pre potreby </w:t>
            </w:r>
            <w:proofErr w:type="spellStart"/>
            <w:r w:rsidRPr="006D6EB3">
              <w:t>VaV</w:t>
            </w:r>
            <w:proofErr w:type="spellEnd"/>
          </w:p>
          <w:p w:rsidR="00E12A9A" w:rsidRDefault="00E12A9A" w:rsidP="005F0BD5">
            <w:r w:rsidRPr="00E12A9A">
              <w:t>(Ing. Martin Chovanec,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5F0BD5"/>
          <w:p w:rsidR="0065201F" w:rsidRDefault="00204800" w:rsidP="005F0BD5">
            <w:pPr>
              <w:rPr>
                <w:u w:val="single"/>
              </w:rPr>
            </w:pPr>
            <w:r w:rsidRPr="00204800">
              <w:rPr>
                <w:u w:val="single"/>
              </w:rPr>
              <w:t>P</w:t>
            </w:r>
            <w:r w:rsidR="00647E2E" w:rsidRPr="00204800">
              <w:rPr>
                <w:u w:val="single"/>
              </w:rPr>
              <w:t>okrok v dodaní tovarov a</w:t>
            </w:r>
            <w:r w:rsidRPr="00204800">
              <w:rPr>
                <w:u w:val="single"/>
              </w:rPr>
              <w:t> </w:t>
            </w:r>
            <w:r w:rsidR="00647E2E" w:rsidRPr="00204800">
              <w:rPr>
                <w:u w:val="single"/>
              </w:rPr>
              <w:t>služieb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lastRenderedPageBreak/>
              <w:t>Aktivita 2.3 Nadstavba, zateplenie a modernizácia časti UVP TECHNICOM na Jesennej 5 v</w:t>
            </w:r>
            <w:r w:rsidR="00E12A9A">
              <w:t> </w:t>
            </w:r>
            <w:r w:rsidRPr="006D6EB3">
              <w:t>Košiciach</w:t>
            </w:r>
          </w:p>
          <w:p w:rsidR="00E12A9A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3C582D" w:rsidRDefault="003C582D" w:rsidP="0046362B">
            <w:r w:rsidRPr="003C582D">
              <w:t>V</w:t>
            </w:r>
            <w:r>
              <w:t xml:space="preserve"> mesiaci máj boli realizované </w:t>
            </w:r>
            <w:r w:rsidR="00F952CB">
              <w:t>hlavne búracie práce týkajúce sa stavebného objektu č.3. Išlo najmä o búranie podláh na 1.NP a 2.NP, osekanie omietok na 1.NP</w:t>
            </w:r>
            <w:r w:rsidR="00F052B3">
              <w:t>, vybúranie vybraných priečok a otvorov pre zárubne, zamurovanie otvorov v stenách, montáž prekladov, demontáž rozvádzačov na 1.NP a 2.NP, demontáž elektrických rozvodov v stenách na 2.NP a 3.NP.</w:t>
            </w:r>
          </w:p>
          <w:p w:rsidR="005923E9" w:rsidRPr="00B144F0" w:rsidRDefault="005923E9" w:rsidP="005923E9">
            <w:r>
              <w:t xml:space="preserve">V spolupráci s projektantom boli riešené otázky týkajúce sa projektovej dokumentácie a to hlavne napojenie odvodu kondenzátu zo vzduchotechniky na kanalizáciu a spôsob riešenia IPV, ktorá je momentálne riešená iba </w:t>
            </w:r>
            <w:proofErr w:type="spellStart"/>
            <w:r>
              <w:t>Platonom</w:t>
            </w:r>
            <w:proofErr w:type="spellEnd"/>
            <w:r>
              <w:t>. Všetky spomenuté otázky boli vyriešené za spoluúčasti projektanta, zhotoviteľa a stavebného dozoru.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  <w:r w:rsidR="0046362B">
              <w:rPr>
                <w:u w:val="single"/>
              </w:rPr>
              <w:t xml:space="preserve"> </w:t>
            </w:r>
            <w:r w:rsidR="0046362B" w:rsidRPr="005B17D5">
              <w:t>VO</w:t>
            </w:r>
            <w:r w:rsidR="0046362B">
              <w:t xml:space="preserve"> je ukončené</w:t>
            </w:r>
          </w:p>
          <w:p w:rsidR="00204800" w:rsidRDefault="00204800" w:rsidP="005F0BD5"/>
          <w:p w:rsidR="00204800" w:rsidRPr="00204800" w:rsidRDefault="00204800" w:rsidP="005923E9">
            <w:pPr>
              <w:rPr>
                <w:u w:val="single"/>
              </w:rPr>
            </w:pPr>
            <w:r w:rsidRPr="00204800">
              <w:rPr>
                <w:u w:val="single"/>
              </w:rPr>
              <w:t>Pokrok v stavebných činnostiach:</w:t>
            </w:r>
            <w:r w:rsidR="0046362B" w:rsidRPr="005923E9">
              <w:t xml:space="preserve"> </w:t>
            </w:r>
            <w:r w:rsidR="005923E9" w:rsidRPr="005923E9">
              <w:t>Po</w:t>
            </w:r>
            <w:r w:rsidR="005923E9">
              <w:t>kračuje realizácia stavebných činností, ide hlavne o búracie práce v rámci stavebného objektu č.3.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  <w:r w:rsidR="0046362B">
              <w:rPr>
                <w:u w:val="single"/>
              </w:rPr>
              <w:t xml:space="preserve"> </w:t>
            </w:r>
            <w:r w:rsidR="0046362B" w:rsidRPr="005B17D5">
              <w:t>nedodržanie harmonogramu prác</w:t>
            </w:r>
          </w:p>
          <w:p w:rsidR="00204800" w:rsidRDefault="00204800" w:rsidP="005F0BD5"/>
          <w:p w:rsidR="00204800" w:rsidRPr="00204800" w:rsidRDefault="00204800" w:rsidP="00A17FE4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  <w:r w:rsidR="0046362B" w:rsidRPr="0046362B">
              <w:t xml:space="preserve">  </w:t>
            </w:r>
            <w:r w:rsidR="004A7155">
              <w:t xml:space="preserve">Zhotoviteľ bol niekoľkokrát upozornený aby navýšil počet pracovníkov na stavenisku </w:t>
            </w:r>
            <w:r w:rsidR="00A17FE4">
              <w:t xml:space="preserve">a aby </w:t>
            </w:r>
            <w:proofErr w:type="spellStart"/>
            <w:r w:rsidR="00A17FE4">
              <w:t>zazmluvnil</w:t>
            </w:r>
            <w:proofErr w:type="spellEnd"/>
            <w:r w:rsidR="00A17FE4">
              <w:t xml:space="preserve"> subdodávateľov a predložil ich zoznam.</w:t>
            </w:r>
          </w:p>
          <w:p w:rsidR="00647E2E" w:rsidRDefault="00647E2E" w:rsidP="005F0BD5"/>
          <w:p w:rsid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2.4  Vybavenie UVP TECHNICOM Jesenná 5 infraštruktúrou potrebnou k realizácii aplikovaného výskumu</w:t>
            </w:r>
          </w:p>
          <w:p w:rsidR="00E12A9A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</w:tcPr>
          <w:p w:rsidR="009E7CB6" w:rsidRDefault="00204800" w:rsidP="009E7CB6"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  <w:r w:rsidR="00A00CFF" w:rsidRPr="00A00CFF">
              <w:t xml:space="preserve">  </w:t>
            </w:r>
            <w:r w:rsidR="001F3D9B">
              <w:t>V mesiaci máj boli dodané zariadenia v celkovej hodnote 361 281,- Eur. Išlo hlavne o tieto zariadenia:</w:t>
            </w:r>
            <w:r w:rsidR="009E7CB6">
              <w:t xml:space="preserve"> </w:t>
            </w:r>
            <w:r w:rsidR="009E7CB6">
              <w:t>Alternatívny uzol pre pripojenie do siete SANET</w:t>
            </w:r>
            <w:r w:rsidR="009E7CB6">
              <w:tab/>
              <w:t>Cisco VS-C6509-S720-10G + príslušenstvo</w:t>
            </w:r>
            <w:r w:rsidR="009E7CB6">
              <w:t xml:space="preserve">, </w:t>
            </w:r>
            <w:r w:rsidR="009E7CB6">
              <w:t>Sieťový uzol projektu na PF UPJŠ</w:t>
            </w:r>
            <w:r w:rsidR="009E7CB6">
              <w:tab/>
            </w:r>
            <w:r w:rsidR="009E7CB6">
              <w:t xml:space="preserve"> </w:t>
            </w:r>
            <w:r w:rsidR="009E7CB6">
              <w:t>Cisco WS-C4507R+E + príslušenstvo</w:t>
            </w:r>
            <w:r w:rsidR="009E7CB6">
              <w:t xml:space="preserve">, </w:t>
            </w:r>
            <w:r w:rsidR="009E7CB6">
              <w:t>Sieťové prepínače s príslušenstvom A</w:t>
            </w:r>
            <w:r w:rsidR="009E7CB6">
              <w:t xml:space="preserve"> </w:t>
            </w:r>
            <w:r w:rsidR="009E7CB6">
              <w:t>Cisco WS-C3850-48F-L + C3850-NM-2-10G + príslušenstvo</w:t>
            </w:r>
            <w:r w:rsidR="009E7CB6">
              <w:t xml:space="preserve">, </w:t>
            </w:r>
            <w:r w:rsidR="009E7CB6">
              <w:t>Personálny videokonferenčný systém</w:t>
            </w:r>
            <w:r w:rsidR="009E7CB6">
              <w:t xml:space="preserve"> </w:t>
            </w:r>
            <w:r w:rsidR="009E7CB6">
              <w:t>Cisco CTS-EX90-K9 + licencie</w:t>
            </w:r>
            <w:r w:rsidR="009E7CB6">
              <w:t xml:space="preserve">, </w:t>
            </w:r>
            <w:r w:rsidR="009E7CB6">
              <w:t>Sieťové prepínače s príslušenstvom B</w:t>
            </w:r>
            <w:r w:rsidR="009E7CB6">
              <w:t xml:space="preserve"> </w:t>
            </w:r>
            <w:r w:rsidR="009E7CB6">
              <w:t>Cisco WS-C3850-48F-L + príslušenstvo</w:t>
            </w:r>
            <w:r w:rsidR="009E7CB6">
              <w:t xml:space="preserve">, </w:t>
            </w:r>
            <w:r w:rsidR="009E7CB6">
              <w:t>IP telefón</w:t>
            </w:r>
            <w:r w:rsidR="009E7CB6">
              <w:t>y</w:t>
            </w:r>
            <w:r w:rsidR="009E7CB6">
              <w:t xml:space="preserve"> s podporou </w:t>
            </w:r>
            <w:proofErr w:type="spellStart"/>
            <w:r w:rsidR="009E7CB6">
              <w:t>videohovorov</w:t>
            </w:r>
            <w:proofErr w:type="spellEnd"/>
            <w:r w:rsidR="009E7CB6">
              <w:t xml:space="preserve"> </w:t>
            </w:r>
            <w:r w:rsidR="009E7CB6">
              <w:t>Cisco CP-9971-CL-CAM-K9 + licencie</w:t>
            </w:r>
            <w:r w:rsidR="009E7CB6">
              <w:t xml:space="preserve">, </w:t>
            </w:r>
            <w:r w:rsidR="009E7CB6">
              <w:t>Osobn</w:t>
            </w:r>
            <w:r w:rsidR="009E7CB6">
              <w:t>é</w:t>
            </w:r>
            <w:r w:rsidR="009E7CB6">
              <w:t xml:space="preserve"> počítač</w:t>
            </w:r>
            <w:r w:rsidR="009E7CB6">
              <w:t>e</w:t>
            </w:r>
            <w:r w:rsidR="009E7CB6">
              <w:t xml:space="preserve"> B</w:t>
            </w:r>
            <w:r w:rsidR="009E7CB6">
              <w:t xml:space="preserve"> </w:t>
            </w:r>
            <w:r w:rsidR="009E7CB6">
              <w:t xml:space="preserve">Fujitsu </w:t>
            </w:r>
            <w:proofErr w:type="spellStart"/>
            <w:r w:rsidR="009E7CB6">
              <w:t>Esprimo</w:t>
            </w:r>
            <w:proofErr w:type="spellEnd"/>
            <w:r w:rsidR="009E7CB6">
              <w:t xml:space="preserve"> P520 i7-4790</w:t>
            </w:r>
            <w:r w:rsidR="009E7CB6">
              <w:t xml:space="preserve"> + príslušenstvo,  </w:t>
            </w:r>
            <w:r w:rsidR="009E7CB6">
              <w:t>Notebook</w:t>
            </w:r>
            <w:r w:rsidR="009E7CB6">
              <w:t>y</w:t>
            </w:r>
            <w:r w:rsidR="009E7CB6">
              <w:t xml:space="preserve"> H</w:t>
            </w:r>
            <w:r w:rsidR="009E7CB6">
              <w:t xml:space="preserve"> </w:t>
            </w:r>
            <w:r w:rsidR="009E7CB6">
              <w:t xml:space="preserve">Apple </w:t>
            </w:r>
            <w:proofErr w:type="spellStart"/>
            <w:r w:rsidR="009E7CB6">
              <w:t>MacBook</w:t>
            </w:r>
            <w:proofErr w:type="spellEnd"/>
            <w:r w:rsidR="009E7CB6">
              <w:t xml:space="preserve"> </w:t>
            </w:r>
            <w:proofErr w:type="spellStart"/>
            <w:r w:rsidR="009E7CB6">
              <w:t>Pro</w:t>
            </w:r>
            <w:proofErr w:type="spellEnd"/>
            <w:r w:rsidR="009E7CB6">
              <w:t xml:space="preserve"> 15" </w:t>
            </w:r>
            <w:proofErr w:type="spellStart"/>
            <w:r w:rsidR="009E7CB6">
              <w:t>Retina</w:t>
            </w:r>
            <w:proofErr w:type="spellEnd"/>
            <w:r w:rsidR="009E7CB6">
              <w:t xml:space="preserve">, </w:t>
            </w:r>
          </w:p>
          <w:p w:rsidR="009E7CB6" w:rsidRDefault="009E7CB6" w:rsidP="009E7CB6">
            <w:r>
              <w:t>Notebook</w:t>
            </w:r>
            <w:r>
              <w:t>y</w:t>
            </w:r>
            <w:r>
              <w:t xml:space="preserve"> B</w:t>
            </w:r>
            <w:r>
              <w:t xml:space="preserve"> </w:t>
            </w:r>
            <w:r>
              <w:t xml:space="preserve">Apple </w:t>
            </w:r>
            <w:proofErr w:type="spellStart"/>
            <w:r>
              <w:t>MacBook</w:t>
            </w:r>
            <w:proofErr w:type="spellEnd"/>
            <w:r>
              <w:t xml:space="preserve"> </w:t>
            </w:r>
            <w:proofErr w:type="spellStart"/>
            <w:r>
              <w:t>Pro</w:t>
            </w:r>
            <w:proofErr w:type="spellEnd"/>
            <w:r>
              <w:t xml:space="preserve"> 15" </w:t>
            </w:r>
            <w:proofErr w:type="spellStart"/>
            <w:r>
              <w:t>Retina</w:t>
            </w:r>
            <w:proofErr w:type="spellEnd"/>
            <w:r>
              <w:t xml:space="preserve"> + </w:t>
            </w:r>
            <w:proofErr w:type="spellStart"/>
            <w:r>
              <w:t>Thunderbolt</w:t>
            </w:r>
            <w:proofErr w:type="spellEnd"/>
            <w:r>
              <w:t xml:space="preserve"> to GB </w:t>
            </w:r>
            <w:proofErr w:type="spellStart"/>
            <w:r>
              <w:t>Ethernet</w:t>
            </w:r>
            <w:proofErr w:type="spellEnd"/>
            <w:r>
              <w:t xml:space="preserve"> </w:t>
            </w:r>
            <w:proofErr w:type="spellStart"/>
            <w:r>
              <w:t>adapter</w:t>
            </w:r>
            <w:proofErr w:type="spellEnd"/>
            <w:r>
              <w:t xml:space="preserve"> + </w:t>
            </w:r>
            <w:proofErr w:type="spellStart"/>
            <w:r>
              <w:t>Thunderbolt</w:t>
            </w:r>
            <w:proofErr w:type="spellEnd"/>
            <w:r>
              <w:t xml:space="preserve"> to </w:t>
            </w:r>
            <w:proofErr w:type="spellStart"/>
            <w:r>
              <w:t>FireWire</w:t>
            </w:r>
            <w:proofErr w:type="spellEnd"/>
            <w:r>
              <w:t xml:space="preserve"> </w:t>
            </w:r>
            <w:proofErr w:type="spellStart"/>
            <w:r>
              <w:t>adapter</w:t>
            </w:r>
            <w:proofErr w:type="spellEnd"/>
            <w:r>
              <w:t xml:space="preserve"> + 1 TB externý disk</w:t>
            </w:r>
            <w:r>
              <w:t xml:space="preserve">,  </w:t>
            </w:r>
            <w:r>
              <w:t>Tablet</w:t>
            </w:r>
            <w:r>
              <w:t>y</w:t>
            </w:r>
            <w:r>
              <w:t xml:space="preserve"> PC A</w:t>
            </w:r>
            <w:r>
              <w:t xml:space="preserve"> </w:t>
            </w:r>
            <w:r>
              <w:t>Samsung GALAXY Note 10.1 LTE</w:t>
            </w:r>
            <w:r>
              <w:t xml:space="preserve">, </w:t>
            </w:r>
            <w:r>
              <w:t>Mobilné zariadeni</w:t>
            </w:r>
            <w:r>
              <w:t>a</w:t>
            </w:r>
            <w:r>
              <w:t xml:space="preserve"> C</w:t>
            </w:r>
            <w:r>
              <w:t xml:space="preserve"> </w:t>
            </w:r>
            <w:r>
              <w:t xml:space="preserve">Samsung </w:t>
            </w:r>
            <w:proofErr w:type="spellStart"/>
            <w:r>
              <w:t>Galaxy</w:t>
            </w:r>
            <w:proofErr w:type="spellEnd"/>
            <w:r>
              <w:t xml:space="preserve"> S4</w:t>
            </w:r>
            <w:r>
              <w:t xml:space="preserve">, </w:t>
            </w:r>
            <w:r>
              <w:t>Tichý LCD projektor</w:t>
            </w:r>
            <w:r>
              <w:t xml:space="preserve"> </w:t>
            </w:r>
            <w:proofErr w:type="spellStart"/>
            <w:r>
              <w:t>Optoma</w:t>
            </w:r>
            <w:proofErr w:type="spellEnd"/>
            <w:r>
              <w:t xml:space="preserve"> W311 DLP</w:t>
            </w:r>
            <w:r>
              <w:t xml:space="preserve">, </w:t>
            </w:r>
            <w:r>
              <w:t>Nástenný držiak na LCD</w:t>
            </w:r>
            <w:r>
              <w:t xml:space="preserve"> </w:t>
            </w:r>
            <w:r>
              <w:t xml:space="preserve">Držiak </w:t>
            </w:r>
            <w:proofErr w:type="spellStart"/>
            <w:r>
              <w:t>Rott</w:t>
            </w:r>
            <w:proofErr w:type="spellEnd"/>
            <w:r>
              <w:t xml:space="preserve"> MONTE CARLO</w:t>
            </w:r>
            <w:r>
              <w:t xml:space="preserve">, </w:t>
            </w:r>
            <w:r>
              <w:t>Výskumné reproduktory so stojanmi</w:t>
            </w:r>
            <w:r>
              <w:t xml:space="preserve"> </w:t>
            </w:r>
            <w:r>
              <w:t>CANTON Plus X3</w:t>
            </w:r>
            <w:r>
              <w:t xml:space="preserve">, </w:t>
            </w:r>
            <w:r>
              <w:t xml:space="preserve">HD </w:t>
            </w:r>
            <w:proofErr w:type="spellStart"/>
            <w:r>
              <w:t>Camera</w:t>
            </w:r>
            <w:proofErr w:type="spellEnd"/>
            <w:r>
              <w:t xml:space="preserve"> </w:t>
            </w:r>
            <w:r>
              <w:t>Sony EVI HD1</w:t>
            </w:r>
            <w:r>
              <w:t>.</w:t>
            </w:r>
          </w:p>
          <w:p w:rsidR="00204800" w:rsidRDefault="00A00CFF" w:rsidP="00204800">
            <w:pPr>
              <w:rPr>
                <w:u w:val="single"/>
              </w:rPr>
            </w:pPr>
            <w:r w:rsidRPr="001F3D9B">
              <w:t xml:space="preserve">Dodávateľovi boli zaslané ďalšie objednávky na dodávku IKT </w:t>
            </w:r>
            <w:r w:rsidR="009E7CB6">
              <w:t xml:space="preserve">a boli </w:t>
            </w:r>
            <w:r w:rsidRPr="001F3D9B">
              <w:t>pripravené vyhlásenia o nedostupnosti tovaru pre položky, ktoré nie sú dostupné na trhu z dôvodu ukončenia ich výroby.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  <w:r w:rsidR="00A00CFF">
              <w:rPr>
                <w:u w:val="single"/>
              </w:rPr>
              <w:t xml:space="preserve"> </w:t>
            </w:r>
            <w:r w:rsidR="00A00CFF" w:rsidRPr="005B17D5">
              <w:t>VO</w:t>
            </w:r>
            <w:r w:rsidR="00A00CFF">
              <w:t xml:space="preserve"> je ukončené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dodaní tovarov a služieb:</w:t>
            </w:r>
            <w:r w:rsidR="00A00CFF">
              <w:rPr>
                <w:u w:val="single"/>
              </w:rPr>
              <w:t xml:space="preserve"> </w:t>
            </w:r>
            <w:r w:rsidR="00A00CFF" w:rsidRPr="00A00CFF">
              <w:t xml:space="preserve"> </w:t>
            </w:r>
            <w:r w:rsidR="00A00CFF">
              <w:t xml:space="preserve">vystavené ďalšie objednávky, dodané zariadenia v celkovej hodnote </w:t>
            </w:r>
            <w:r w:rsidR="00CD1C72">
              <w:t>361</w:t>
            </w:r>
            <w:r w:rsidR="00A00CFF">
              <w:t> </w:t>
            </w:r>
            <w:r w:rsidR="00CD1C72">
              <w:t>281</w:t>
            </w:r>
            <w:r w:rsidR="00A00CFF">
              <w:t>,- €.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R</w:t>
            </w:r>
            <w:r w:rsidRPr="00204800">
              <w:rPr>
                <w:u w:val="single"/>
              </w:rPr>
              <w:t>izikové oblasti:</w:t>
            </w:r>
            <w:r w:rsidR="00A00CFF">
              <w:rPr>
                <w:u w:val="single"/>
              </w:rPr>
              <w:t xml:space="preserve"> </w:t>
            </w:r>
            <w:r w:rsidR="00841633" w:rsidRPr="000C128E">
              <w:t xml:space="preserve">Nedostupnosť špecifikovaných tovarov na trhu v požadovanom množstve. Umiestnenie centrálneho výpočtového uzla je plánované do </w:t>
            </w:r>
            <w:proofErr w:type="spellStart"/>
            <w:r w:rsidR="00841633" w:rsidRPr="000C128E">
              <w:t>serverovne</w:t>
            </w:r>
            <w:proofErr w:type="spellEnd"/>
            <w:r w:rsidR="00841633" w:rsidRPr="000C128E">
              <w:t xml:space="preserve"> v  časti budovy kde je plánovaná rekonštrukcia v rámci projektu. Vzhľadom na meškanie stavebných prác možno budeme musieť hľadať alternatívne umiestnenie.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  <w:r w:rsidR="00841633">
              <w:rPr>
                <w:u w:val="single"/>
              </w:rPr>
              <w:t xml:space="preserve"> </w:t>
            </w:r>
            <w:r w:rsidR="00841633" w:rsidRPr="00E943B5">
              <w:t>Opakovanie VO.</w:t>
            </w:r>
          </w:p>
          <w:p w:rsidR="00EA150F" w:rsidRDefault="00EA150F" w:rsidP="005F0BD5"/>
        </w:tc>
      </w:tr>
      <w:tr w:rsidR="00EA150F" w:rsidTr="003272E8">
        <w:tc>
          <w:tcPr>
            <w:tcW w:w="2660" w:type="dxa"/>
            <w:shd w:val="clear" w:color="auto" w:fill="9BD4F9" w:themeFill="background2" w:themeFillShade="E6"/>
          </w:tcPr>
          <w:p w:rsidR="00EA150F" w:rsidRDefault="006D6EB3" w:rsidP="005F0BD5">
            <w:r w:rsidRPr="006D6EB3">
              <w:lastRenderedPageBreak/>
              <w:t xml:space="preserve">Aktivita 2.5 Výstavba nových výskumných priestorov partnera Prešovská univerzita </w:t>
            </w:r>
            <w:r w:rsidR="00E12A9A">
              <w:t>–</w:t>
            </w:r>
            <w:r w:rsidRPr="006D6EB3">
              <w:t xml:space="preserve"> UNIPOLAB</w:t>
            </w:r>
          </w:p>
          <w:p w:rsidR="00E12A9A" w:rsidRDefault="00E12A9A" w:rsidP="005F0BD5">
            <w:r w:rsidRPr="00E12A9A">
              <w:t xml:space="preserve">(doc. Ing. Peter </w:t>
            </w:r>
            <w:proofErr w:type="spellStart"/>
            <w:r w:rsidRPr="00E12A9A">
              <w:t>Adamišin</w:t>
            </w:r>
            <w:proofErr w:type="spellEnd"/>
            <w:r w:rsidRPr="00E12A9A">
              <w:t>, PhD)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stavebných činnostiach: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  <w:p w:rsidR="00755127" w:rsidRDefault="00755127" w:rsidP="005F0BD5">
            <w:r w:rsidRPr="00755127">
              <w:t>(Fotodokumentácia</w:t>
            </w:r>
            <w:r>
              <w:t xml:space="preserve"> aktuálneho stavu)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2.6  Vybavenie priestorov partnera PU nevyhnutnou prístrojovou, laboratórnou a IKT infraštruktúrou</w:t>
            </w:r>
          </w:p>
          <w:p w:rsidR="00E12A9A" w:rsidRDefault="00E12A9A" w:rsidP="005F0BD5">
            <w:r w:rsidRPr="00E12A9A">
              <w:t xml:space="preserve">(doc. Ing. Peter </w:t>
            </w:r>
            <w:proofErr w:type="spellStart"/>
            <w:r w:rsidRPr="00E12A9A">
              <w:t>Adamišin</w:t>
            </w:r>
            <w:proofErr w:type="spellEnd"/>
            <w:r w:rsidRPr="00E12A9A">
              <w:t>, PhD)</w:t>
            </w:r>
          </w:p>
        </w:tc>
        <w:tc>
          <w:tcPr>
            <w:tcW w:w="7830" w:type="dxa"/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aktivity:</w:t>
            </w:r>
          </w:p>
          <w:p w:rsidR="00204800" w:rsidRDefault="00204800" w:rsidP="00717D64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Súčasný stav verejného obstarávania: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Pokrok v dodaní tovarov a služieb: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EA150F" w:rsidRDefault="00EA150F" w:rsidP="005F0BD5"/>
        </w:tc>
      </w:tr>
      <w:tr w:rsidR="0065201F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5201F" w:rsidRDefault="006D6EB3" w:rsidP="005F0BD5">
            <w:r w:rsidRPr="006D6EB3">
              <w:t>Aktivita 3.1 Pilotné projekty v odbore  Informačné a komunikačné technológie</w:t>
            </w:r>
          </w:p>
          <w:p w:rsidR="00E12A9A" w:rsidRDefault="00E12A9A" w:rsidP="005F0BD5">
            <w:r w:rsidRPr="00E12A9A">
              <w:t>(doc. Ing. František Jakab,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5F0BD5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Pr="00204800" w:rsidRDefault="00204800" w:rsidP="005F0BD5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3.2 Pilotné projekty v odbore Elektrotechnika, automatizácia a riadiace systémy</w:t>
            </w:r>
          </w:p>
          <w:p w:rsidR="00E12A9A" w:rsidRDefault="00E12A9A" w:rsidP="005F0BD5">
            <w:r w:rsidRPr="00E12A9A">
              <w:t xml:space="preserve">(prof. Ing. </w:t>
            </w:r>
            <w:proofErr w:type="spellStart"/>
            <w:r w:rsidRPr="00E12A9A">
              <w:t>AlenaPietriková</w:t>
            </w:r>
            <w:proofErr w:type="spellEnd"/>
            <w:r w:rsidRPr="00E12A9A">
              <w:t>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lastRenderedPageBreak/>
              <w:t>Aktivita 3.3 Pilotné projekty v odbore Strojárstvo</w:t>
            </w:r>
          </w:p>
          <w:p w:rsidR="00E12A9A" w:rsidRDefault="00E12A9A" w:rsidP="005F0BD5">
            <w:r w:rsidRPr="00E12A9A">
              <w:t>(</w:t>
            </w:r>
            <w:proofErr w:type="spellStart"/>
            <w:r w:rsidRPr="00E12A9A">
              <w:t>Dr.h.c.prof.Ing.Miroslav</w:t>
            </w:r>
            <w:proofErr w:type="spellEnd"/>
            <w:r w:rsidRPr="00E12A9A">
              <w:t xml:space="preserve"> </w:t>
            </w:r>
            <w:proofErr w:type="spellStart"/>
            <w:r w:rsidRPr="00E12A9A">
              <w:t>Badida</w:t>
            </w:r>
            <w:proofErr w:type="spellEnd"/>
            <w:r w:rsidRPr="00E12A9A">
              <w:t>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647E2E" w:rsidRDefault="00647E2E" w:rsidP="00647E2E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3.4 Pilotné projekty v odbore Stavebné inžinierstvo</w:t>
            </w:r>
          </w:p>
          <w:p w:rsidR="00E12A9A" w:rsidRDefault="00E12A9A" w:rsidP="005F0BD5">
            <w:r w:rsidRPr="00E12A9A">
              <w:t>(prof. Ing. Stanislav Kmeť, CSc.)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 w:rsidR="0018056B"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204800" w:rsidRDefault="00204800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3.5 Pilotné projekty v odbore Environmentálne inžinierstvo</w:t>
            </w:r>
          </w:p>
          <w:p w:rsidR="00E12A9A" w:rsidRPr="006D6EB3" w:rsidRDefault="00E12A9A" w:rsidP="005F0BD5">
            <w:r w:rsidRPr="00E12A9A">
              <w:t xml:space="preserve">(doc. Ing.  Ján </w:t>
            </w:r>
            <w:proofErr w:type="spellStart"/>
            <w:r w:rsidRPr="00E12A9A">
              <w:t>Spišák</w:t>
            </w:r>
            <w:proofErr w:type="spellEnd"/>
            <w:r w:rsidRPr="00E12A9A">
              <w:t>, PhD.)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9262DA" w:rsidRDefault="009262DA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t>Aktivita 3.6.  Pilotné projekty UPJŠ v odbore Informačné a komunikačné technológie</w:t>
            </w:r>
          </w:p>
          <w:p w:rsidR="00E12A9A" w:rsidRPr="006D6EB3" w:rsidRDefault="00E12A9A" w:rsidP="005F0BD5">
            <w:r w:rsidRPr="00E12A9A">
              <w:t>(doc. RNDr. Gabriel Semanišin, PhD.)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Pr="009467B0" w:rsidRDefault="00204800" w:rsidP="00204800">
            <w:pPr>
              <w:rPr>
                <w:u w:val="single"/>
              </w:rPr>
            </w:pPr>
            <w:r w:rsidRPr="009467B0">
              <w:rPr>
                <w:u w:val="single"/>
              </w:rPr>
              <w:t>Vecný pokrok v realizácii aktivity podľa PP:</w:t>
            </w:r>
          </w:p>
          <w:p w:rsidR="00AE33CD" w:rsidRPr="009467B0" w:rsidRDefault="00AE33CD" w:rsidP="00204800">
            <w:pPr>
              <w:rPr>
                <w:b/>
              </w:rPr>
            </w:pPr>
            <w:r w:rsidRPr="009467B0">
              <w:rPr>
                <w:b/>
              </w:rPr>
              <w:t>PP 1. Aplikovaný výskum v oblasti paralelného a distribuovaného počítania:</w:t>
            </w:r>
          </w:p>
          <w:p w:rsidR="00566FB4" w:rsidRDefault="00662C34" w:rsidP="00204800">
            <w:r w:rsidRPr="00662C34">
              <w:t xml:space="preserve">V monitorovacom období sa  vyvíjal a testoval softvéru pre spracovanie údajovo náročných úloh na produkčnom </w:t>
            </w:r>
            <w:proofErr w:type="spellStart"/>
            <w:r w:rsidRPr="00662C34">
              <w:t>gridovom</w:t>
            </w:r>
            <w:proofErr w:type="spellEnd"/>
            <w:r w:rsidRPr="00662C34">
              <w:t xml:space="preserve"> uzle a to  spracovanie údajov z jaskyne Domica a </w:t>
            </w:r>
            <w:proofErr w:type="spellStart"/>
            <w:r w:rsidRPr="00662C34">
              <w:t>a</w:t>
            </w:r>
            <w:proofErr w:type="spellEnd"/>
            <w:r w:rsidRPr="00662C34">
              <w:t xml:space="preserve"> spracovania veľkých digitálnych obrázkov na produkčnom </w:t>
            </w:r>
            <w:proofErr w:type="spellStart"/>
            <w:r w:rsidRPr="00662C34">
              <w:t>gridovom</w:t>
            </w:r>
            <w:proofErr w:type="spellEnd"/>
            <w:r w:rsidRPr="00662C34">
              <w:t xml:space="preserve"> uzle.</w:t>
            </w:r>
          </w:p>
          <w:p w:rsidR="00662C34" w:rsidRDefault="00662C34" w:rsidP="00204800"/>
          <w:p w:rsidR="00AE33CD" w:rsidRPr="009467B0" w:rsidRDefault="00AE33CD" w:rsidP="00204800">
            <w:pPr>
              <w:rPr>
                <w:b/>
              </w:rPr>
            </w:pPr>
            <w:r w:rsidRPr="009467B0">
              <w:rPr>
                <w:b/>
              </w:rPr>
              <w:t>PP 2. Vývoj nástrojov a metód pre virtuálnu kolaboráciu:</w:t>
            </w:r>
          </w:p>
          <w:p w:rsidR="00204800" w:rsidRDefault="009467B0" w:rsidP="009467B0">
            <w:r>
              <w:t xml:space="preserve">V mesiaci máj boli realizované činnosti týkajúce sa vývoja </w:t>
            </w:r>
            <w:r w:rsidR="006851CF">
              <w:t>softvérového riešenia konverzi</w:t>
            </w:r>
            <w:r>
              <w:t>e textu do reálneho videa, v</w:t>
            </w:r>
            <w:r w:rsidR="006851CF">
              <w:t>ylepšeni</w:t>
            </w:r>
            <w:r>
              <w:t>a</w:t>
            </w:r>
            <w:r w:rsidR="006851CF">
              <w:t xml:space="preserve"> mechanizmu pripojenia </w:t>
            </w:r>
            <w:proofErr w:type="spellStart"/>
            <w:r w:rsidR="006851CF">
              <w:t>iOS</w:t>
            </w:r>
            <w:proofErr w:type="spellEnd"/>
            <w:r w:rsidR="006851CF">
              <w:t xml:space="preserve"> klientov na Panda servery</w:t>
            </w:r>
            <w:r>
              <w:t xml:space="preserve"> a bola spustená prvá </w:t>
            </w:r>
            <w:r w:rsidR="006851CF">
              <w:t>ALFA verzia univerzálneho prehrá</w:t>
            </w:r>
            <w:r>
              <w:t>va</w:t>
            </w:r>
            <w:r w:rsidR="006851CF">
              <w:t>ča</w:t>
            </w:r>
            <w:r>
              <w:t>.</w:t>
            </w:r>
          </w:p>
          <w:p w:rsidR="006851CF" w:rsidRDefault="006851CF" w:rsidP="006851CF"/>
          <w:p w:rsidR="00AE33CD" w:rsidRPr="003F23A7" w:rsidRDefault="00AE33CD" w:rsidP="00647E2E">
            <w:pPr>
              <w:rPr>
                <w:b/>
              </w:rPr>
            </w:pPr>
            <w:r w:rsidRPr="003F23A7">
              <w:rPr>
                <w:b/>
              </w:rPr>
              <w:t xml:space="preserve">PP 3. Výskum v oblasti inovatívnych interakcií </w:t>
            </w:r>
            <w:proofErr w:type="spellStart"/>
            <w:r w:rsidRPr="003F23A7">
              <w:rPr>
                <w:b/>
              </w:rPr>
              <w:t>človek-počítač</w:t>
            </w:r>
            <w:proofErr w:type="spellEnd"/>
            <w:r w:rsidRPr="003F23A7">
              <w:rPr>
                <w:b/>
              </w:rPr>
              <w:t>:</w:t>
            </w:r>
          </w:p>
          <w:p w:rsidR="000E4E87" w:rsidRDefault="003F23A7" w:rsidP="003F23A7">
            <w:r>
              <w:t>Pracovali sme na p</w:t>
            </w:r>
            <w:r>
              <w:t xml:space="preserve">ríprav článkov o </w:t>
            </w:r>
            <w:proofErr w:type="spellStart"/>
            <w:r>
              <w:t>kontextuálnych</w:t>
            </w:r>
            <w:proofErr w:type="spellEnd"/>
            <w:r>
              <w:t xml:space="preserve"> efektov pri lokalizácii s predchádzajúcim </w:t>
            </w:r>
            <w:proofErr w:type="spellStart"/>
            <w:r>
              <w:t>distraktorom</w:t>
            </w:r>
            <w:proofErr w:type="spellEnd"/>
            <w:r>
              <w:t>.</w:t>
            </w:r>
            <w:r>
              <w:t xml:space="preserve"> Zároveň bol realizovaný z</w:t>
            </w:r>
            <w:r>
              <w:t xml:space="preserve">ber experimentálnych </w:t>
            </w:r>
            <w:proofErr w:type="spellStart"/>
            <w:r>
              <w:lastRenderedPageBreak/>
              <w:t>neurálnych</w:t>
            </w:r>
            <w:proofErr w:type="spellEnd"/>
            <w:r>
              <w:t xml:space="preserve"> dát na EEG a </w:t>
            </w:r>
            <w:proofErr w:type="spellStart"/>
            <w:r>
              <w:t>fMRI</w:t>
            </w:r>
            <w:proofErr w:type="spellEnd"/>
            <w:r>
              <w:t xml:space="preserve"> zariadeniach.</w:t>
            </w:r>
            <w:r>
              <w:t xml:space="preserve"> N</w:t>
            </w:r>
            <w:r>
              <w:t xml:space="preserve">a konferencii </w:t>
            </w:r>
            <w:proofErr w:type="spellStart"/>
            <w:r>
              <w:t>Acoustical</w:t>
            </w:r>
            <w:proofErr w:type="spellEnd"/>
            <w:r>
              <w:t xml:space="preserve"> Society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America</w:t>
            </w:r>
            <w:proofErr w:type="spellEnd"/>
            <w:r>
              <w:t xml:space="preserve"> </w:t>
            </w:r>
            <w:r>
              <w:t xml:space="preserve">sme prezentovali </w:t>
            </w:r>
            <w:r>
              <w:t>(Kopčo, Andrejková)</w:t>
            </w:r>
            <w:r>
              <w:t xml:space="preserve"> formou </w:t>
            </w:r>
            <w:proofErr w:type="spellStart"/>
            <w:r>
              <w:t>posterovej</w:t>
            </w:r>
            <w:proofErr w:type="spellEnd"/>
            <w:r>
              <w:t xml:space="preserve"> prezentácie </w:t>
            </w:r>
            <w:r>
              <w:t>dv</w:t>
            </w:r>
            <w:r>
              <w:t>a</w:t>
            </w:r>
            <w:r>
              <w:t xml:space="preserve"> výskumn</w:t>
            </w:r>
            <w:r>
              <w:t>é</w:t>
            </w:r>
            <w:r>
              <w:t xml:space="preserve"> výstup</w:t>
            </w:r>
            <w:r>
              <w:t>y</w:t>
            </w:r>
            <w:r>
              <w:t>.</w:t>
            </w:r>
          </w:p>
          <w:p w:rsidR="003F23A7" w:rsidRDefault="003F23A7" w:rsidP="00566FB4">
            <w:pPr>
              <w:rPr>
                <w:lang w:val="en-US"/>
              </w:rPr>
            </w:pPr>
          </w:p>
          <w:p w:rsidR="00AE33CD" w:rsidRPr="003F23A7" w:rsidRDefault="00AE33CD" w:rsidP="00647E2E">
            <w:pPr>
              <w:rPr>
                <w:b/>
              </w:rPr>
            </w:pPr>
            <w:r w:rsidRPr="003F23A7">
              <w:rPr>
                <w:b/>
              </w:rPr>
              <w:t>PP 4. Vývoj informačných systémov pre podporu riadenia vzdelávania, vedy a výskumu:</w:t>
            </w:r>
          </w:p>
          <w:p w:rsidR="00943260" w:rsidRDefault="005206C8" w:rsidP="00943260">
            <w:pPr>
              <w:pStyle w:val="Odsekzoznamu"/>
              <w:numPr>
                <w:ilvl w:val="0"/>
                <w:numId w:val="2"/>
              </w:numPr>
            </w:pPr>
            <w:r>
              <w:t>D</w:t>
            </w:r>
            <w:r w:rsidR="00943260" w:rsidRPr="00943260">
              <w:t>opln</w:t>
            </w:r>
            <w:r w:rsidR="00943260">
              <w:t>enie</w:t>
            </w:r>
            <w:r w:rsidR="00943260" w:rsidRPr="00943260">
              <w:t xml:space="preserve"> rozhodovac</w:t>
            </w:r>
            <w:r w:rsidR="00943260">
              <w:t xml:space="preserve">ieho </w:t>
            </w:r>
            <w:r w:rsidR="00943260" w:rsidRPr="00943260">
              <w:t>proces</w:t>
            </w:r>
            <w:r w:rsidR="00943260">
              <w:t>u</w:t>
            </w:r>
            <w:r w:rsidR="00943260" w:rsidRPr="00943260">
              <w:t xml:space="preserve"> prijímacieho konania o generovanie rozhodnutí transformačnými šablónami</w:t>
            </w:r>
            <w:r>
              <w:t>,</w:t>
            </w:r>
          </w:p>
          <w:p w:rsidR="00943260" w:rsidRDefault="00943260" w:rsidP="00943260">
            <w:pPr>
              <w:pStyle w:val="Odsekzoznamu"/>
              <w:numPr>
                <w:ilvl w:val="0"/>
                <w:numId w:val="2"/>
              </w:numPr>
            </w:pPr>
            <w:r w:rsidRPr="00943260">
              <w:t>prepojen</w:t>
            </w:r>
            <w:r>
              <w:t xml:space="preserve">ie </w:t>
            </w:r>
            <w:r w:rsidRPr="00943260">
              <w:t>na odosielanie cez ústredný portál verejnej správy</w:t>
            </w:r>
            <w:r w:rsidR="005206C8">
              <w:t>,</w:t>
            </w:r>
          </w:p>
          <w:p w:rsidR="00943260" w:rsidRDefault="00943260" w:rsidP="00943260">
            <w:pPr>
              <w:pStyle w:val="Odsekzoznamu"/>
              <w:numPr>
                <w:ilvl w:val="0"/>
                <w:numId w:val="2"/>
              </w:numPr>
            </w:pPr>
            <w:r>
              <w:t xml:space="preserve">úprava </w:t>
            </w:r>
            <w:r w:rsidRPr="00943260">
              <w:t>generovani</w:t>
            </w:r>
            <w:r>
              <w:t>a</w:t>
            </w:r>
            <w:r w:rsidRPr="00943260">
              <w:t xml:space="preserve"> štatistických prehľadov zo štúdia a administrácie poplatkov</w:t>
            </w:r>
            <w:r w:rsidR="005206C8">
              <w:t>,</w:t>
            </w:r>
          </w:p>
          <w:p w:rsidR="005206C8" w:rsidRDefault="00943260" w:rsidP="00943260">
            <w:pPr>
              <w:pStyle w:val="Odsekzoznamu"/>
              <w:numPr>
                <w:ilvl w:val="0"/>
                <w:numId w:val="2"/>
              </w:numPr>
            </w:pPr>
            <w:r>
              <w:t xml:space="preserve">úprava </w:t>
            </w:r>
            <w:r w:rsidRPr="00943260">
              <w:t>životn</w:t>
            </w:r>
            <w:r>
              <w:t xml:space="preserve">ého </w:t>
            </w:r>
            <w:r w:rsidRPr="00943260">
              <w:t>cyklu "</w:t>
            </w:r>
            <w:proofErr w:type="spellStart"/>
            <w:r w:rsidRPr="00943260">
              <w:t>session</w:t>
            </w:r>
            <w:proofErr w:type="spellEnd"/>
            <w:r w:rsidRPr="00943260">
              <w:t>" prihláseného používateľa</w:t>
            </w:r>
            <w:r w:rsidR="005206C8">
              <w:t>,</w:t>
            </w:r>
          </w:p>
          <w:p w:rsidR="005206C8" w:rsidRDefault="005206C8" w:rsidP="00943260">
            <w:pPr>
              <w:pStyle w:val="Odsekzoznamu"/>
              <w:numPr>
                <w:ilvl w:val="0"/>
                <w:numId w:val="2"/>
              </w:numPr>
            </w:pPr>
            <w:r>
              <w:t>i</w:t>
            </w:r>
            <w:r w:rsidR="00943260" w:rsidRPr="00943260">
              <w:t>mplement</w:t>
            </w:r>
            <w:r>
              <w:t xml:space="preserve">ácia </w:t>
            </w:r>
            <w:r w:rsidR="00943260" w:rsidRPr="00943260">
              <w:t>správ</w:t>
            </w:r>
            <w:r>
              <w:t>y</w:t>
            </w:r>
            <w:r w:rsidR="00943260" w:rsidRPr="00943260">
              <w:t xml:space="preserve"> absolventských kariet v absolventskom portáli</w:t>
            </w:r>
            <w:r>
              <w:t>,</w:t>
            </w:r>
          </w:p>
          <w:p w:rsidR="00566FB4" w:rsidRDefault="005206C8" w:rsidP="00943260">
            <w:pPr>
              <w:pStyle w:val="Odsekzoznamu"/>
              <w:numPr>
                <w:ilvl w:val="0"/>
                <w:numId w:val="2"/>
              </w:numPr>
            </w:pPr>
            <w:r>
              <w:t>p</w:t>
            </w:r>
            <w:r w:rsidR="00943260" w:rsidRPr="00943260">
              <w:t>rida</w:t>
            </w:r>
            <w:r>
              <w:t xml:space="preserve">nie </w:t>
            </w:r>
            <w:r w:rsidR="00943260" w:rsidRPr="00943260">
              <w:t>metr</w:t>
            </w:r>
            <w:r>
              <w:t>ík</w:t>
            </w:r>
            <w:r w:rsidR="00943260" w:rsidRPr="00943260">
              <w:t xml:space="preserve"> na sledovanie výkonnosti systému.</w:t>
            </w:r>
          </w:p>
          <w:p w:rsidR="00943260" w:rsidRDefault="00943260" w:rsidP="00647E2E"/>
          <w:p w:rsidR="00AE33CD" w:rsidRPr="008C3999" w:rsidRDefault="00AE33CD" w:rsidP="00647E2E">
            <w:pPr>
              <w:rPr>
                <w:b/>
              </w:rPr>
            </w:pPr>
            <w:r w:rsidRPr="008C3999">
              <w:rPr>
                <w:b/>
              </w:rPr>
              <w:t>PP 5. Výskum v oblasti reprezentácie a analýzy dát:</w:t>
            </w:r>
          </w:p>
          <w:p w:rsidR="008C3999" w:rsidRDefault="00D32193" w:rsidP="008C3999">
            <w:pPr>
              <w:pStyle w:val="Odsekzoznamu"/>
              <w:numPr>
                <w:ilvl w:val="0"/>
                <w:numId w:val="3"/>
              </w:numPr>
            </w:pPr>
            <w:r>
              <w:t>I</w:t>
            </w:r>
            <w:r w:rsidR="008C3999">
              <w:t xml:space="preserve">mplementácia a testovanie </w:t>
            </w:r>
            <w:proofErr w:type="spellStart"/>
            <w:r w:rsidR="008C3999" w:rsidRPr="008C3999">
              <w:t>crawlovac</w:t>
            </w:r>
            <w:r w:rsidR="008C3999">
              <w:t>ích</w:t>
            </w:r>
            <w:proofErr w:type="spellEnd"/>
            <w:r w:rsidR="008C3999" w:rsidRPr="008C3999">
              <w:t xml:space="preserve"> nástroj</w:t>
            </w:r>
            <w:r w:rsidR="008C3999">
              <w:t>ov</w:t>
            </w:r>
            <w:r w:rsidR="008C3999" w:rsidRPr="008C3999">
              <w:t xml:space="preserve"> pre získavanie podujatí z rôznych webových portálov, RSS zdrojov atď.</w:t>
            </w:r>
            <w:r>
              <w:t>,</w:t>
            </w:r>
          </w:p>
          <w:p w:rsidR="008C3999" w:rsidRDefault="008C3999" w:rsidP="008C3999">
            <w:pPr>
              <w:pStyle w:val="Odsekzoznamu"/>
              <w:numPr>
                <w:ilvl w:val="0"/>
                <w:numId w:val="3"/>
              </w:numPr>
            </w:pPr>
            <w:r w:rsidRPr="008C3999">
              <w:t>implementácii a testovan</w:t>
            </w:r>
            <w:r>
              <w:t>ie</w:t>
            </w:r>
            <w:r w:rsidRPr="008C3999">
              <w:t xml:space="preserve"> metód automatického uloženia a spracovania extrahovaných obrázkov</w:t>
            </w:r>
            <w:r w:rsidR="00D32193">
              <w:t>,</w:t>
            </w:r>
          </w:p>
          <w:p w:rsidR="008C3999" w:rsidRDefault="008C3999" w:rsidP="008C3999">
            <w:pPr>
              <w:pStyle w:val="Odsekzoznamu"/>
              <w:numPr>
                <w:ilvl w:val="0"/>
                <w:numId w:val="3"/>
              </w:numPr>
            </w:pPr>
            <w:r w:rsidRPr="008C3999">
              <w:t>štúdiu</w:t>
            </w:r>
            <w:r>
              <w:t>m</w:t>
            </w:r>
            <w:r w:rsidRPr="008C3999">
              <w:t xml:space="preserve"> diskrétnych modelov a efektívnych algoritmov pre použitie v rôznych aplikačných oblastiach</w:t>
            </w:r>
            <w:r w:rsidR="00D32193">
              <w:t>,</w:t>
            </w:r>
          </w:p>
          <w:p w:rsidR="008C3999" w:rsidRDefault="008C3999" w:rsidP="008C3999">
            <w:pPr>
              <w:pStyle w:val="Odsekzoznamu"/>
              <w:numPr>
                <w:ilvl w:val="0"/>
                <w:numId w:val="3"/>
              </w:numPr>
            </w:pPr>
            <w:r w:rsidRPr="008C3999">
              <w:t>aplikáci</w:t>
            </w:r>
            <w:r>
              <w:t>a</w:t>
            </w:r>
            <w:r w:rsidRPr="008C3999">
              <w:t xml:space="preserve"> štatistických metód na reálne dáta a</w:t>
            </w:r>
            <w:r>
              <w:t xml:space="preserve"> riešenie </w:t>
            </w:r>
            <w:r w:rsidRPr="008C3999">
              <w:t>teoretický</w:t>
            </w:r>
            <w:r>
              <w:t>ch</w:t>
            </w:r>
            <w:r w:rsidR="00D32193">
              <w:t xml:space="preserve"> </w:t>
            </w:r>
            <w:r w:rsidRPr="008C3999">
              <w:t>problémo</w:t>
            </w:r>
            <w:r>
              <w:t>v</w:t>
            </w:r>
            <w:r w:rsidRPr="008C3999">
              <w:t xml:space="preserve"> týkajúcich sa </w:t>
            </w:r>
            <w:proofErr w:type="spellStart"/>
            <w:r w:rsidRPr="008C3999">
              <w:t>multivariačných</w:t>
            </w:r>
            <w:proofErr w:type="spellEnd"/>
            <w:r w:rsidRPr="008C3999">
              <w:t xml:space="preserve"> dát </w:t>
            </w:r>
            <w:r>
              <w:t xml:space="preserve">a </w:t>
            </w:r>
            <w:r w:rsidRPr="008C3999">
              <w:t>analýz</w:t>
            </w:r>
            <w:r>
              <w:t>y</w:t>
            </w:r>
            <w:r w:rsidRPr="008C3999">
              <w:t xml:space="preserve"> </w:t>
            </w:r>
            <w:proofErr w:type="spellStart"/>
            <w:r w:rsidRPr="008C3999">
              <w:t>fuzzifikácie</w:t>
            </w:r>
            <w:proofErr w:type="spellEnd"/>
            <w:r w:rsidR="00D32193">
              <w:t>,</w:t>
            </w:r>
          </w:p>
          <w:p w:rsidR="00566FB4" w:rsidRDefault="008C3999" w:rsidP="008C3999">
            <w:pPr>
              <w:pStyle w:val="Odsekzoznamu"/>
              <w:numPr>
                <w:ilvl w:val="0"/>
                <w:numId w:val="3"/>
              </w:numPr>
            </w:pPr>
            <w:r>
              <w:t xml:space="preserve">príprava </w:t>
            </w:r>
            <w:r w:rsidRPr="008C3999">
              <w:t>návrhu a implementáci</w:t>
            </w:r>
            <w:r>
              <w:t>a</w:t>
            </w:r>
            <w:r w:rsidRPr="008C3999">
              <w:t xml:space="preserve"> mobilnej aplikácie na uchovanie náhľadov kamery spolu s hodnotami senzorov.</w:t>
            </w:r>
          </w:p>
          <w:p w:rsidR="008C3999" w:rsidRDefault="008C3999" w:rsidP="00647E2E"/>
          <w:p w:rsidR="00AE33CD" w:rsidRPr="00D32193" w:rsidRDefault="00566FB4" w:rsidP="00647E2E">
            <w:pPr>
              <w:rPr>
                <w:b/>
              </w:rPr>
            </w:pPr>
            <w:r w:rsidRPr="00D32193">
              <w:rPr>
                <w:b/>
              </w:rPr>
              <w:t xml:space="preserve">PP 6. Výskum a vývoj metód </w:t>
            </w:r>
            <w:proofErr w:type="spellStart"/>
            <w:r w:rsidRPr="00D32193">
              <w:rPr>
                <w:b/>
              </w:rPr>
              <w:t>geoprocessingu</w:t>
            </w:r>
            <w:proofErr w:type="spellEnd"/>
            <w:r w:rsidRPr="00D32193">
              <w:rPr>
                <w:b/>
              </w:rPr>
              <w:t xml:space="preserve"> v </w:t>
            </w:r>
            <w:proofErr w:type="spellStart"/>
            <w:r w:rsidRPr="00D32193">
              <w:rPr>
                <w:b/>
              </w:rPr>
              <w:t>geopriestorových</w:t>
            </w:r>
            <w:proofErr w:type="spellEnd"/>
            <w:r w:rsidRPr="00D32193">
              <w:rPr>
                <w:b/>
              </w:rPr>
              <w:t xml:space="preserve"> </w:t>
            </w:r>
            <w:proofErr w:type="spellStart"/>
            <w:r w:rsidRPr="00D32193">
              <w:rPr>
                <w:b/>
              </w:rPr>
              <w:t>technológiach</w:t>
            </w:r>
            <w:proofErr w:type="spellEnd"/>
            <w:r w:rsidRPr="00D32193">
              <w:rPr>
                <w:b/>
              </w:rPr>
              <w:t xml:space="preserve"> a </w:t>
            </w:r>
            <w:proofErr w:type="spellStart"/>
            <w:r w:rsidRPr="00D32193">
              <w:rPr>
                <w:b/>
              </w:rPr>
              <w:t>službach</w:t>
            </w:r>
            <w:proofErr w:type="spellEnd"/>
            <w:r w:rsidRPr="00D32193">
              <w:rPr>
                <w:b/>
              </w:rPr>
              <w:t>:</w:t>
            </w:r>
          </w:p>
          <w:p w:rsidR="00566FB4" w:rsidRDefault="00626D0D" w:rsidP="00647E2E">
            <w:r w:rsidRPr="00626D0D">
              <w:t xml:space="preserve">Aktivity sa realizujú podľa plánu. Vykonali sa práce v oblasti priestorových interpolácii, optimalizácie ich parametrického nastavenia. Testovalo sa použitie </w:t>
            </w:r>
            <w:proofErr w:type="spellStart"/>
            <w:r w:rsidRPr="00626D0D">
              <w:t>mikroUAV</w:t>
            </w:r>
            <w:proofErr w:type="spellEnd"/>
            <w:r w:rsidRPr="00626D0D">
              <w:t xml:space="preserve"> na zber fotogrametrických a laserových dát.  Analyzovali sa tiež možnosti distribuovaného počítania masívnych </w:t>
            </w:r>
            <w:proofErr w:type="spellStart"/>
            <w:r w:rsidRPr="00626D0D">
              <w:t>datasetov</w:t>
            </w:r>
            <w:proofErr w:type="spellEnd"/>
            <w:r w:rsidRPr="00626D0D">
              <w:t>. Pokračujú práce na príprave katalógu máp.</w:t>
            </w:r>
          </w:p>
          <w:p w:rsidR="00AE33CD" w:rsidRDefault="00AE33CD" w:rsidP="0018056B">
            <w:pPr>
              <w:rPr>
                <w:u w:val="single"/>
              </w:rPr>
            </w:pPr>
          </w:p>
          <w:p w:rsidR="0018056B" w:rsidRPr="00ED4878" w:rsidRDefault="0018056B" w:rsidP="0018056B">
            <w:pPr>
              <w:rPr>
                <w:u w:val="single"/>
              </w:rPr>
            </w:pPr>
            <w:r w:rsidRPr="00ED4878">
              <w:rPr>
                <w:u w:val="single"/>
              </w:rPr>
              <w:t>Stručný popis pokroku vo výskumných činnostiach podľa PP:</w:t>
            </w:r>
          </w:p>
          <w:p w:rsidR="00566FB4" w:rsidRPr="00ED4878" w:rsidRDefault="00566FB4" w:rsidP="00566FB4">
            <w:pPr>
              <w:rPr>
                <w:b/>
              </w:rPr>
            </w:pPr>
            <w:r w:rsidRPr="00ED4878">
              <w:rPr>
                <w:b/>
              </w:rPr>
              <w:t>PP 1. Aplikovaný výskum v oblasti paralelného a distribuovaného počítania:</w:t>
            </w:r>
          </w:p>
          <w:p w:rsidR="00566FB4" w:rsidRDefault="00662C34" w:rsidP="00566FB4">
            <w:r w:rsidRPr="00662C34">
              <w:t xml:space="preserve">V poskytovaní produkčného </w:t>
            </w:r>
            <w:proofErr w:type="spellStart"/>
            <w:r w:rsidRPr="00662C34">
              <w:t>gridového</w:t>
            </w:r>
            <w:proofErr w:type="spellEnd"/>
            <w:r w:rsidRPr="00662C34">
              <w:t xml:space="preserve"> uzla sa dosiahol výrazný pokrok, pretože sa </w:t>
            </w:r>
            <w:proofErr w:type="spellStart"/>
            <w:r w:rsidRPr="00662C34">
              <w:t>vyviul</w:t>
            </w:r>
            <w:proofErr w:type="spellEnd"/>
            <w:r w:rsidRPr="00662C34">
              <w:t xml:space="preserve"> softvér pre širokú aplikačnú oblasť. Spracovanie údajovo náročných úloh je vo finálnej fáze, kde sa testovali navrhnuté riešenia. Počas testovania sa našla  chyba v </w:t>
            </w:r>
            <w:proofErr w:type="spellStart"/>
            <w:r w:rsidRPr="00662C34">
              <w:t>gridovom</w:t>
            </w:r>
            <w:proofErr w:type="spellEnd"/>
            <w:r w:rsidRPr="00662C34">
              <w:t xml:space="preserve"> softvéri, ktorá bola štandardným spôsobom oznámená vývojárom v projekte </w:t>
            </w:r>
            <w:proofErr w:type="spellStart"/>
            <w:r w:rsidRPr="00662C34">
              <w:t>NorduGrid</w:t>
            </w:r>
            <w:proofErr w:type="spellEnd"/>
            <w:r w:rsidRPr="00662C34">
              <w:t xml:space="preserve"> ([Bug 3473] </w:t>
            </w:r>
            <w:proofErr w:type="spellStart"/>
            <w:r w:rsidRPr="00662C34">
              <w:t>A-rex</w:t>
            </w:r>
            <w:proofErr w:type="spellEnd"/>
            <w:r w:rsidRPr="00662C34">
              <w:t xml:space="preserve"> </w:t>
            </w:r>
            <w:proofErr w:type="spellStart"/>
            <w:r w:rsidRPr="00662C34">
              <w:t>crashes</w:t>
            </w:r>
            <w:proofErr w:type="spellEnd"/>
            <w:r w:rsidRPr="00662C34">
              <w:t xml:space="preserve"> </w:t>
            </w:r>
            <w:proofErr w:type="spellStart"/>
            <w:r w:rsidRPr="00662C34">
              <w:t>after</w:t>
            </w:r>
            <w:proofErr w:type="spellEnd"/>
            <w:r w:rsidRPr="00662C34">
              <w:t xml:space="preserve"> </w:t>
            </w:r>
            <w:proofErr w:type="spellStart"/>
            <w:r w:rsidRPr="00662C34">
              <w:t>input</w:t>
            </w:r>
            <w:proofErr w:type="spellEnd"/>
            <w:r w:rsidRPr="00662C34">
              <w:t>/</w:t>
            </w:r>
            <w:proofErr w:type="spellStart"/>
            <w:r w:rsidRPr="00662C34">
              <w:t>output</w:t>
            </w:r>
            <w:proofErr w:type="spellEnd"/>
            <w:r w:rsidRPr="00662C34">
              <w:t xml:space="preserve"> </w:t>
            </w:r>
            <w:proofErr w:type="spellStart"/>
            <w:r w:rsidRPr="00662C34">
              <w:t>jobs</w:t>
            </w:r>
            <w:proofErr w:type="spellEnd"/>
            <w:r w:rsidRPr="00662C34">
              <w:t xml:space="preserve"> </w:t>
            </w:r>
            <w:proofErr w:type="spellStart"/>
            <w:r w:rsidRPr="00662C34">
              <w:t>handling</w:t>
            </w:r>
            <w:proofErr w:type="spellEnd"/>
            <w:r w:rsidRPr="00662C34">
              <w:t>)</w:t>
            </w:r>
          </w:p>
          <w:p w:rsidR="00662C34" w:rsidRDefault="00662C34" w:rsidP="00566FB4"/>
          <w:p w:rsidR="00566FB4" w:rsidRPr="00ED4878" w:rsidRDefault="00566FB4" w:rsidP="00566FB4">
            <w:pPr>
              <w:rPr>
                <w:b/>
              </w:rPr>
            </w:pPr>
            <w:r w:rsidRPr="00ED4878">
              <w:rPr>
                <w:b/>
              </w:rPr>
              <w:t>PP 2. Vývoj nástrojov a metód pre virtuálnu kolaboráciu:</w:t>
            </w:r>
          </w:p>
          <w:p w:rsidR="00566FB4" w:rsidRDefault="006851CF" w:rsidP="00566FB4">
            <w:r w:rsidRPr="006851CF">
              <w:t xml:space="preserve">Pokračujeme v spolupráci na vývoji </w:t>
            </w:r>
            <w:proofErr w:type="spellStart"/>
            <w:r w:rsidRPr="006851CF">
              <w:t>SeeVogh</w:t>
            </w:r>
            <w:proofErr w:type="spellEnd"/>
            <w:r w:rsidRPr="006851CF">
              <w:t xml:space="preserve"> systému. Pracujeme na vývoji softvérového riešenia konverzie textu do videa aj s možnosťou </w:t>
            </w:r>
            <w:proofErr w:type="spellStart"/>
            <w:r w:rsidRPr="006851CF">
              <w:t>transparantného</w:t>
            </w:r>
            <w:proofErr w:type="spellEnd"/>
            <w:r w:rsidRPr="006851CF">
              <w:t xml:space="preserve"> zobrazenia textu v kódovanom videu. Vylepšili sme spôsob pripojenia </w:t>
            </w:r>
            <w:proofErr w:type="spellStart"/>
            <w:r w:rsidRPr="006851CF">
              <w:t>iOS</w:t>
            </w:r>
            <w:proofErr w:type="spellEnd"/>
            <w:r w:rsidRPr="006851CF">
              <w:t xml:space="preserve"> klienta na Panda servery s možnosťou dynamického prepájania na základe latencie internetového pripojenia. Príprava a testovanie prvej ALFA verzie univerzálneho prehrávača štandardných súborov. Ďalej sme vykonali množstvo záťažových </w:t>
            </w:r>
            <w:proofErr w:type="spellStart"/>
            <w:r w:rsidRPr="006851CF">
              <w:t>tesov</w:t>
            </w:r>
            <w:proofErr w:type="spellEnd"/>
            <w:r w:rsidRPr="006851CF">
              <w:t xml:space="preserve"> </w:t>
            </w:r>
            <w:r w:rsidRPr="006851CF">
              <w:lastRenderedPageBreak/>
              <w:t>ALFA verzie univerzálneho prehrávača za účelom odchytenia možných chýb.</w:t>
            </w:r>
          </w:p>
          <w:p w:rsidR="0093155B" w:rsidRDefault="0093155B" w:rsidP="00566FB4">
            <w:r w:rsidRPr="0093155B">
              <w:t xml:space="preserve">Vo vzťahu k projektu </w:t>
            </w:r>
            <w:proofErr w:type="spellStart"/>
            <w:r w:rsidRPr="0093155B">
              <w:t>Sofos</w:t>
            </w:r>
            <w:proofErr w:type="spellEnd"/>
            <w:r w:rsidRPr="0093155B">
              <w:t xml:space="preserve"> je testovaný Manažér projektových aktivít, realizovali sa úpravy užívateľského rozhrania. Z dôvodu významných vývojových zmien je užívateľské prostredie </w:t>
            </w:r>
            <w:proofErr w:type="spellStart"/>
            <w:r w:rsidRPr="0093155B">
              <w:t>V-arény</w:t>
            </w:r>
            <w:proofErr w:type="spellEnd"/>
            <w:r w:rsidRPr="0093155B">
              <w:t xml:space="preserve"> od 11. mája do 20. júna mimo prevádzky. Súčasne sme pokračovali v úprave akademickej databázy, boli zlúčené 3 zdroje: SK-CRIS, UPJŠ Sofia a SAV databáza do jedného formátu, v súčasnosti sa upravujú duplikáty. Projekt vyvrcholí v mesiaci jún, kedy predpokladáme spustenie novej národnej akademickej siete (projekt </w:t>
            </w:r>
            <w:proofErr w:type="spellStart"/>
            <w:r w:rsidRPr="0093155B">
              <w:t>DiviCen</w:t>
            </w:r>
            <w:proofErr w:type="spellEnd"/>
            <w:r w:rsidRPr="0093155B">
              <w:t xml:space="preserve">) a reinštalovaný systém </w:t>
            </w:r>
            <w:proofErr w:type="spellStart"/>
            <w:r w:rsidRPr="0093155B">
              <w:t>V-aréna</w:t>
            </w:r>
            <w:proofErr w:type="spellEnd"/>
            <w:r w:rsidRPr="0093155B">
              <w:t>, ktorý by mal akademickú komunikáciu manažovať. V Hamburgu, Ing. Domaracký ukončil vývoj software na manažovanie experimentov realizovaných v prostredí fotónových vied, v júni predpokladáme inštaláciu daného software na serveroch UPJŠ a to pre potreby edukácie a overenia nových technológii.</w:t>
            </w:r>
          </w:p>
          <w:p w:rsidR="006851CF" w:rsidRDefault="006851CF" w:rsidP="00566FB4"/>
          <w:p w:rsidR="00566FB4" w:rsidRPr="00ED4878" w:rsidRDefault="00566FB4" w:rsidP="00566FB4">
            <w:pPr>
              <w:rPr>
                <w:b/>
              </w:rPr>
            </w:pPr>
            <w:r w:rsidRPr="00ED4878">
              <w:rPr>
                <w:b/>
              </w:rPr>
              <w:t xml:space="preserve">PP 3. Výskum v oblasti inovatívnych interakcií </w:t>
            </w:r>
            <w:proofErr w:type="spellStart"/>
            <w:r w:rsidRPr="00ED4878">
              <w:rPr>
                <w:b/>
              </w:rPr>
              <w:t>človek-počítač</w:t>
            </w:r>
            <w:proofErr w:type="spellEnd"/>
            <w:r w:rsidRPr="00ED4878">
              <w:rPr>
                <w:b/>
              </w:rPr>
              <w:t>:</w:t>
            </w:r>
          </w:p>
          <w:p w:rsidR="005F1F41" w:rsidRDefault="005F1F41" w:rsidP="005F1F41">
            <w:r>
              <w:t xml:space="preserve">Príprava článkov o </w:t>
            </w:r>
            <w:proofErr w:type="spellStart"/>
            <w:r>
              <w:t>kontextuálnych</w:t>
            </w:r>
            <w:proofErr w:type="spellEnd"/>
            <w:r>
              <w:t xml:space="preserve"> efektov pri lokalizácii s predchádzajúcim </w:t>
            </w:r>
            <w:proofErr w:type="spellStart"/>
            <w:r>
              <w:t>distraktorom</w:t>
            </w:r>
            <w:proofErr w:type="spellEnd"/>
            <w:r>
              <w:t xml:space="preserve"> (Kopčo, Andrejková, Hládek, </w:t>
            </w:r>
            <w:proofErr w:type="spellStart"/>
            <w:r>
              <w:t>Tomoriová</w:t>
            </w:r>
            <w:proofErr w:type="spellEnd"/>
            <w:r>
              <w:t>).</w:t>
            </w:r>
          </w:p>
          <w:p w:rsidR="005F1F41" w:rsidRDefault="005F1F41" w:rsidP="005F1F41">
            <w:r>
              <w:t xml:space="preserve">Zber experimentálnych </w:t>
            </w:r>
            <w:proofErr w:type="spellStart"/>
            <w:r>
              <w:t>neurálnych</w:t>
            </w:r>
            <w:proofErr w:type="spellEnd"/>
            <w:r>
              <w:t xml:space="preserve"> dát na EEG a </w:t>
            </w:r>
            <w:proofErr w:type="spellStart"/>
            <w:r>
              <w:t>fMRI</w:t>
            </w:r>
            <w:proofErr w:type="spellEnd"/>
            <w:r>
              <w:t xml:space="preserve"> zariadeniach (Kopčo).</w:t>
            </w:r>
          </w:p>
          <w:p w:rsidR="005F1F41" w:rsidRDefault="005F1F41" w:rsidP="005F1F41">
            <w:proofErr w:type="spellStart"/>
            <w:r>
              <w:t>Posterová</w:t>
            </w:r>
            <w:proofErr w:type="spellEnd"/>
            <w:r>
              <w:t xml:space="preserve"> prezentácia dvoch výskumných výstupov na konferencii </w:t>
            </w:r>
            <w:proofErr w:type="spellStart"/>
            <w:r>
              <w:t>Acoustical</w:t>
            </w:r>
            <w:proofErr w:type="spellEnd"/>
            <w:r>
              <w:t xml:space="preserve"> Society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America</w:t>
            </w:r>
            <w:proofErr w:type="spellEnd"/>
            <w:r>
              <w:t xml:space="preserve"> (Kopčo, Andrejková).</w:t>
            </w:r>
          </w:p>
          <w:p w:rsidR="00566FB4" w:rsidRDefault="00566FB4" w:rsidP="00566FB4"/>
          <w:p w:rsidR="00566FB4" w:rsidRPr="00ED4878" w:rsidRDefault="00566FB4" w:rsidP="00566FB4">
            <w:pPr>
              <w:rPr>
                <w:b/>
              </w:rPr>
            </w:pPr>
            <w:r w:rsidRPr="00ED4878">
              <w:rPr>
                <w:b/>
              </w:rPr>
              <w:t>PP 4. Vývoj informačných systémov pre podporu riadenia vzdelávania, vedy a výskumu:</w:t>
            </w:r>
          </w:p>
          <w:p w:rsidR="00566FB4" w:rsidRDefault="00B76D43" w:rsidP="00566FB4">
            <w:r w:rsidRPr="00B76D43">
              <w:t>Doplnili sme rozhodovací proces prijímacieho konania o generovanie rozhodnutí transformačnými šablónami a prepojením na odosielanie cez ústredný portál verejnej správy. Bolo upravené generovanie štatistických prehľadov zo štúdia a administrácie poplatkov. Upravili sme  životný cyklu "</w:t>
            </w:r>
            <w:proofErr w:type="spellStart"/>
            <w:r w:rsidRPr="00B76D43">
              <w:t>session</w:t>
            </w:r>
            <w:proofErr w:type="spellEnd"/>
            <w:r w:rsidRPr="00B76D43">
              <w:t xml:space="preserve">" prihláseného používateľa v rámci informačného systému v súvislosti s implementovaní zjednodušeného portálu študenta. Implementovali sme správu absolventských kariet v absolventskom portáli s možnosťou generovania </w:t>
            </w:r>
            <w:proofErr w:type="spellStart"/>
            <w:r w:rsidRPr="00B76D43">
              <w:t>vizuálu</w:t>
            </w:r>
            <w:proofErr w:type="spellEnd"/>
            <w:r w:rsidRPr="00B76D43">
              <w:t xml:space="preserve"> aj s QR kódom pre automatizované rozpoznávanie identity. Pridali sme metriky na sledovanie výkonnosti systému.</w:t>
            </w:r>
          </w:p>
          <w:p w:rsidR="00B76D43" w:rsidRDefault="00B76D43" w:rsidP="00566FB4"/>
          <w:p w:rsidR="00566FB4" w:rsidRPr="00ED4878" w:rsidRDefault="00566FB4" w:rsidP="00566FB4">
            <w:pPr>
              <w:rPr>
                <w:b/>
              </w:rPr>
            </w:pPr>
            <w:r w:rsidRPr="00ED4878">
              <w:rPr>
                <w:b/>
              </w:rPr>
              <w:t>PP 5. Výskum v oblasti reprezentácie a analýzy dát:</w:t>
            </w:r>
          </w:p>
          <w:p w:rsidR="00566FB4" w:rsidRDefault="00344D16" w:rsidP="00566FB4">
            <w:r w:rsidRPr="00344D16">
              <w:t xml:space="preserve">Vytvorili sme a otestovali </w:t>
            </w:r>
            <w:proofErr w:type="spellStart"/>
            <w:r w:rsidRPr="00344D16">
              <w:t>crawlovacie</w:t>
            </w:r>
            <w:proofErr w:type="spellEnd"/>
            <w:r w:rsidRPr="00344D16">
              <w:t xml:space="preserve"> nástroje pre získavanie podujatí z rôznych webových portálov, RSS zdrojov atď. pre "turistický odporúčací systém". Pokračovali sme v implementácii a testovaní metód automatického uloženia a spracovania extrahovaných obrázkov a metódy na anotáciu hodnôt atribútov s jednotkami a so zamlčanými jednotkami pre čiastkový výstup "</w:t>
            </w:r>
            <w:proofErr w:type="spellStart"/>
            <w:r w:rsidRPr="00344D16">
              <w:t>Metakatalóg</w:t>
            </w:r>
            <w:proofErr w:type="spellEnd"/>
            <w:r w:rsidRPr="00344D16">
              <w:t xml:space="preserve"> produktov internetových obchodov". Pokračovali sme v štúdiu diskrétnych modelov a efektívnych algoritmov pre použitie v rôznych aplikačných oblastiach, ako napr. modelovanie komunikačných sietí pomocou grafov, ktoré môžu mať využitie aj v doméne “Internet </w:t>
            </w:r>
            <w:proofErr w:type="spellStart"/>
            <w:r w:rsidRPr="00344D16">
              <w:t>of</w:t>
            </w:r>
            <w:proofErr w:type="spellEnd"/>
            <w:r w:rsidRPr="00344D16">
              <w:t xml:space="preserve"> </w:t>
            </w:r>
            <w:proofErr w:type="spellStart"/>
            <w:r w:rsidRPr="00344D16">
              <w:t>things</w:t>
            </w:r>
            <w:proofErr w:type="spellEnd"/>
            <w:r w:rsidRPr="00344D16">
              <w:t xml:space="preserve">”. Pokračovali sme v aplikácii štatistických metód na reálne dáta a venovali sme sa rôznym teoretickým problémom týkajúcich sa </w:t>
            </w:r>
            <w:proofErr w:type="spellStart"/>
            <w:r w:rsidRPr="00344D16">
              <w:t>multivariačných</w:t>
            </w:r>
            <w:proofErr w:type="spellEnd"/>
            <w:r w:rsidRPr="00344D16">
              <w:t xml:space="preserve"> dát ako aj analýze </w:t>
            </w:r>
            <w:proofErr w:type="spellStart"/>
            <w:r w:rsidRPr="00344D16">
              <w:t>fuzzifikácie</w:t>
            </w:r>
            <w:proofErr w:type="spellEnd"/>
            <w:r w:rsidRPr="00344D16">
              <w:t xml:space="preserve"> a iných rozšírení formálnej </w:t>
            </w:r>
            <w:proofErr w:type="spellStart"/>
            <w:r w:rsidRPr="00344D16">
              <w:t>konceptovej</w:t>
            </w:r>
            <w:proofErr w:type="spellEnd"/>
            <w:r w:rsidRPr="00344D16">
              <w:t xml:space="preserve"> analýzy. Spolupracovali sme pri návrhu a implementácii mobilnej aplikácie na uchovanie náhľadov kamery spolu s hodnotami senzorov.</w:t>
            </w:r>
          </w:p>
          <w:p w:rsidR="00344D16" w:rsidRDefault="00344D16" w:rsidP="00566FB4"/>
          <w:p w:rsidR="00566FB4" w:rsidRPr="00ED4878" w:rsidRDefault="00566FB4" w:rsidP="00566FB4">
            <w:pPr>
              <w:rPr>
                <w:b/>
              </w:rPr>
            </w:pPr>
            <w:r w:rsidRPr="00ED4878">
              <w:rPr>
                <w:b/>
              </w:rPr>
              <w:t xml:space="preserve">PP 6. Výskum a vývoj metód </w:t>
            </w:r>
            <w:proofErr w:type="spellStart"/>
            <w:r w:rsidRPr="00ED4878">
              <w:rPr>
                <w:b/>
              </w:rPr>
              <w:t>geoprocessingu</w:t>
            </w:r>
            <w:proofErr w:type="spellEnd"/>
            <w:r w:rsidRPr="00ED4878">
              <w:rPr>
                <w:b/>
              </w:rPr>
              <w:t xml:space="preserve"> v </w:t>
            </w:r>
            <w:proofErr w:type="spellStart"/>
            <w:r w:rsidRPr="00ED4878">
              <w:rPr>
                <w:b/>
              </w:rPr>
              <w:t>geopriestorových</w:t>
            </w:r>
            <w:proofErr w:type="spellEnd"/>
            <w:r w:rsidRPr="00ED4878">
              <w:rPr>
                <w:b/>
              </w:rPr>
              <w:t xml:space="preserve"> </w:t>
            </w:r>
            <w:proofErr w:type="spellStart"/>
            <w:r w:rsidRPr="00ED4878">
              <w:rPr>
                <w:b/>
              </w:rPr>
              <w:t>technológiach</w:t>
            </w:r>
            <w:proofErr w:type="spellEnd"/>
            <w:r w:rsidRPr="00ED4878">
              <w:rPr>
                <w:b/>
              </w:rPr>
              <w:t xml:space="preserve"> a </w:t>
            </w:r>
            <w:proofErr w:type="spellStart"/>
            <w:r w:rsidRPr="00ED4878">
              <w:rPr>
                <w:b/>
              </w:rPr>
              <w:t>službach</w:t>
            </w:r>
            <w:proofErr w:type="spellEnd"/>
            <w:r w:rsidRPr="00ED4878">
              <w:rPr>
                <w:b/>
              </w:rPr>
              <w:t>:</w:t>
            </w:r>
          </w:p>
          <w:p w:rsidR="003648BD" w:rsidRDefault="003648BD" w:rsidP="00566FB4">
            <w:r w:rsidRPr="003648BD">
              <w:t xml:space="preserve">Výskum sa zameral najmä na aplikáciu </w:t>
            </w:r>
            <w:proofErr w:type="spellStart"/>
            <w:r w:rsidRPr="003648BD">
              <w:t>cross-validačných</w:t>
            </w:r>
            <w:proofErr w:type="spellEnd"/>
            <w:r w:rsidRPr="003648BD">
              <w:t xml:space="preserve"> metód pre optimalizáciu </w:t>
            </w:r>
            <w:r w:rsidRPr="003648BD">
              <w:lastRenderedPageBreak/>
              <w:t xml:space="preserve">interpolácie. Analyzovali sa možnosti segmentovaného spracovania masívnych </w:t>
            </w:r>
            <w:proofErr w:type="spellStart"/>
            <w:r w:rsidRPr="003648BD">
              <w:t>datasetov</w:t>
            </w:r>
            <w:proofErr w:type="spellEnd"/>
            <w:r w:rsidRPr="003648BD">
              <w:t xml:space="preserve"> z laserového skenovania pomocou distribuovaného a paralelného výpočtu. Skúmali sa možnosti tvorby 3D mračien bodov z fotografického a laserového snímania povrchu pomocou UAV.</w:t>
            </w:r>
          </w:p>
          <w:p w:rsidR="009262DA" w:rsidRDefault="009262DA" w:rsidP="00204800">
            <w:pPr>
              <w:rPr>
                <w:u w:val="single"/>
              </w:rPr>
            </w:pPr>
          </w:p>
          <w:p w:rsidR="00204800" w:rsidRPr="00D70919" w:rsidRDefault="00204800" w:rsidP="00204800">
            <w:pPr>
              <w:rPr>
                <w:u w:val="single"/>
              </w:rPr>
            </w:pPr>
            <w:r w:rsidRPr="00D70919">
              <w:rPr>
                <w:u w:val="single"/>
              </w:rPr>
              <w:t>Dosiahnuté výsledky aktivity:</w:t>
            </w:r>
          </w:p>
          <w:p w:rsidR="00566FB4" w:rsidRDefault="00D70919" w:rsidP="00566FB4">
            <w:r w:rsidRPr="00D70919">
              <w:t xml:space="preserve">Dosiahnuté výsledky jednotlivých PP sú popísané vyššie v časti „Vecný pokrok v realizácii aktivity podľa PP“. </w:t>
            </w:r>
            <w:r>
              <w:t xml:space="preserve">Okrem vyššie popísaného boli v rámci PP1 </w:t>
            </w:r>
            <w:r w:rsidR="00B57918" w:rsidRPr="00B57918">
              <w:t xml:space="preserve">vývoja aplikačného softvéru vyvinuté </w:t>
            </w:r>
            <w:proofErr w:type="spellStart"/>
            <w:r w:rsidR="00B57918" w:rsidRPr="00B57918">
              <w:t>skripty</w:t>
            </w:r>
            <w:proofErr w:type="spellEnd"/>
            <w:r w:rsidR="00B57918" w:rsidRPr="00B57918">
              <w:t xml:space="preserve"> na automatické generovanie popisu údajovo náročnej úlohy v jazyku </w:t>
            </w:r>
            <w:proofErr w:type="spellStart"/>
            <w:r w:rsidR="00B57918" w:rsidRPr="00B57918">
              <w:t>xRLS</w:t>
            </w:r>
            <w:proofErr w:type="spellEnd"/>
            <w:r w:rsidR="00B57918" w:rsidRPr="00B57918">
              <w:t xml:space="preserve"> pre údaje z jaskyňa Domica a </w:t>
            </w:r>
            <w:proofErr w:type="spellStart"/>
            <w:r w:rsidR="00B57918" w:rsidRPr="00B57918">
              <w:t>gridového</w:t>
            </w:r>
            <w:proofErr w:type="spellEnd"/>
            <w:r w:rsidR="00B57918" w:rsidRPr="00B57918">
              <w:t xml:space="preserve"> softvéru na spracovanie  digitálnych obrázkov. Obe riešenia boli testované. Spracovanie údajov z jaskyňa Domica sa realizovalo v spolupráci s riešiteľmi aktivity PP6 projektu Technicom. Výsledky slúžili na prípravu prednášky “</w:t>
            </w:r>
            <w:proofErr w:type="spellStart"/>
            <w:r w:rsidR="00B57918" w:rsidRPr="00B57918">
              <w:t>Surface</w:t>
            </w:r>
            <w:proofErr w:type="spellEnd"/>
            <w:r w:rsidR="00B57918" w:rsidRPr="00B57918">
              <w:t xml:space="preserve"> </w:t>
            </w:r>
            <w:proofErr w:type="spellStart"/>
            <w:r w:rsidR="00B57918" w:rsidRPr="00B57918">
              <w:t>reconstruction</w:t>
            </w:r>
            <w:proofErr w:type="spellEnd"/>
            <w:r w:rsidR="00B57918" w:rsidRPr="00B57918">
              <w:t xml:space="preserve"> </w:t>
            </w:r>
            <w:proofErr w:type="spellStart"/>
            <w:r w:rsidR="00B57918" w:rsidRPr="00B57918">
              <w:t>of</w:t>
            </w:r>
            <w:proofErr w:type="spellEnd"/>
            <w:r w:rsidR="00B57918" w:rsidRPr="00B57918">
              <w:t xml:space="preserve"> 3D </w:t>
            </w:r>
            <w:proofErr w:type="spellStart"/>
            <w:r w:rsidR="00B57918" w:rsidRPr="00B57918">
              <w:t>scanned</w:t>
            </w:r>
            <w:proofErr w:type="spellEnd"/>
            <w:r w:rsidR="00B57918" w:rsidRPr="00B57918">
              <w:t xml:space="preserve"> </w:t>
            </w:r>
            <w:proofErr w:type="spellStart"/>
            <w:r w:rsidR="00B57918" w:rsidRPr="00B57918">
              <w:t>data</w:t>
            </w:r>
            <w:proofErr w:type="spellEnd"/>
            <w:r w:rsidR="00B57918" w:rsidRPr="00B57918">
              <w:t xml:space="preserve"> </w:t>
            </w:r>
            <w:proofErr w:type="spellStart"/>
            <w:r w:rsidR="00B57918" w:rsidRPr="00B57918">
              <w:t>from</w:t>
            </w:r>
            <w:proofErr w:type="spellEnd"/>
            <w:r w:rsidR="00B57918" w:rsidRPr="00B57918">
              <w:t xml:space="preserve"> </w:t>
            </w:r>
            <w:proofErr w:type="spellStart"/>
            <w:r w:rsidR="00B57918" w:rsidRPr="00B57918">
              <w:t>cave</w:t>
            </w:r>
            <w:proofErr w:type="spellEnd"/>
            <w:r w:rsidR="00B57918" w:rsidRPr="00B57918">
              <w:t xml:space="preserve"> Domica (Slovakia)“ na medzinárodnej konferencií </w:t>
            </w:r>
            <w:proofErr w:type="spellStart"/>
            <w:r w:rsidR="00B57918" w:rsidRPr="00B57918">
              <w:t>Nordugrid</w:t>
            </w:r>
            <w:proofErr w:type="spellEnd"/>
            <w:r w:rsidR="00B57918" w:rsidRPr="00B57918">
              <w:t xml:space="preserve"> 2015 (</w:t>
            </w:r>
            <w:hyperlink r:id="rId15" w:history="1">
              <w:r w:rsidR="00B57918" w:rsidRPr="00FA54CF">
                <w:rPr>
                  <w:rStyle w:val="Hypertextovprepojenie"/>
                </w:rPr>
                <w:t>http://indi</w:t>
              </w:r>
              <w:r w:rsidR="00B57918" w:rsidRPr="00FA54CF">
                <w:rPr>
                  <w:rStyle w:val="Hypertextovprepojenie"/>
                </w:rPr>
                <w:t>c</w:t>
              </w:r>
              <w:r w:rsidR="00B57918" w:rsidRPr="00FA54CF">
                <w:rPr>
                  <w:rStyle w:val="Hypertextovprepojenie"/>
                </w:rPr>
                <w:t>o.hep.lu.se//conferenceDisplay.py?confId=1578</w:t>
              </w:r>
            </w:hyperlink>
            <w:r w:rsidR="00B57918" w:rsidRPr="00B57918">
              <w:t>).</w:t>
            </w:r>
          </w:p>
          <w:p w:rsidR="00080582" w:rsidRDefault="00DB66C1" w:rsidP="00566FB4">
            <w:r>
              <w:t>V rámci PP6 boli d</w:t>
            </w:r>
            <w:r w:rsidR="00080582" w:rsidRPr="00080582">
              <w:t xml:space="preserve">osiahnuté výsledky koncentrované najmä v oblasti metód optimalizácie </w:t>
            </w:r>
            <w:proofErr w:type="spellStart"/>
            <w:r w:rsidR="00080582" w:rsidRPr="00080582">
              <w:t>geoprocressingových</w:t>
            </w:r>
            <w:proofErr w:type="spellEnd"/>
            <w:r w:rsidR="00080582" w:rsidRPr="00080582">
              <w:t xml:space="preserve"> metód interpolácie pomocou </w:t>
            </w:r>
            <w:proofErr w:type="spellStart"/>
            <w:r w:rsidR="00080582" w:rsidRPr="00080582">
              <w:t>cross-validácie</w:t>
            </w:r>
            <w:proofErr w:type="spellEnd"/>
            <w:r w:rsidR="00080582" w:rsidRPr="00080582">
              <w:t>, ďalej vytvorenie špecializovaných digitálnych máp pre katalóg, ktorý obsahuje aj digitálny model terénu s veľmi vysokou presnosťou a mierou detailu nutnou pre mapovanie špecifických foriem krasového reliéfu.</w:t>
            </w:r>
          </w:p>
          <w:p w:rsidR="00204800" w:rsidRDefault="00204800" w:rsidP="005F0BD5"/>
          <w:p w:rsidR="00204800" w:rsidRPr="00553B3A" w:rsidRDefault="00204800" w:rsidP="00204800">
            <w:pPr>
              <w:rPr>
                <w:b/>
                <w:u w:val="single"/>
              </w:rPr>
            </w:pPr>
            <w:r w:rsidRPr="00553B3A">
              <w:rPr>
                <w:b/>
                <w:u w:val="single"/>
              </w:rPr>
              <w:t>Rizikové oblasti:</w:t>
            </w:r>
          </w:p>
          <w:p w:rsidR="00AF37C0" w:rsidRDefault="00AF37C0" w:rsidP="00553B3A">
            <w:r w:rsidRPr="00AF37C0">
              <w:t>Vzhľadom na neskorú dodávku IKT zariadení nebol vyvíjaný softvér otestovaný na všetkých plánovaných platformách. Po dodaní zariadení a zrealizovaní testov môže dôjsť ku koncentrácii úloh do posledných mesiacov riešenia projektu.</w:t>
            </w:r>
            <w:r>
              <w:t xml:space="preserve"> V rámci PP1 bolo h</w:t>
            </w:r>
            <w:r w:rsidR="00364F57" w:rsidRPr="00364F57">
              <w:t xml:space="preserve">lavným rizikom </w:t>
            </w:r>
            <w:r>
              <w:t xml:space="preserve">pri </w:t>
            </w:r>
            <w:r w:rsidR="00364F57" w:rsidRPr="00364F57">
              <w:t>spracovan</w:t>
            </w:r>
            <w:r>
              <w:t>í</w:t>
            </w:r>
            <w:r w:rsidR="00364F57" w:rsidRPr="00364F57">
              <w:t xml:space="preserve"> údajov z jaskyne Domica nízka kvalita externého </w:t>
            </w:r>
            <w:proofErr w:type="spellStart"/>
            <w:r w:rsidR="00364F57" w:rsidRPr="00364F57">
              <w:t>sotvéru</w:t>
            </w:r>
            <w:proofErr w:type="spellEnd"/>
            <w:r w:rsidR="00364F57" w:rsidRPr="00364F57">
              <w:t xml:space="preserve"> </w:t>
            </w:r>
            <w:proofErr w:type="spellStart"/>
            <w:r w:rsidR="00364F57" w:rsidRPr="00364F57">
              <w:t>Meshlab</w:t>
            </w:r>
            <w:proofErr w:type="spellEnd"/>
            <w:r w:rsidR="00364F57" w:rsidRPr="00364F57">
              <w:t xml:space="preserve">, ktorá spôsobuje závažné problémy s prenosom úlohy do </w:t>
            </w:r>
            <w:proofErr w:type="spellStart"/>
            <w:r w:rsidR="00364F57" w:rsidRPr="00364F57">
              <w:t>gridu</w:t>
            </w:r>
            <w:proofErr w:type="spellEnd"/>
            <w:r w:rsidR="00364F57" w:rsidRPr="00364F57">
              <w:t xml:space="preserve">, </w:t>
            </w:r>
            <w:proofErr w:type="spellStart"/>
            <w:r w:rsidR="00364F57" w:rsidRPr="00364F57">
              <w:t>pričém</w:t>
            </w:r>
            <w:proofErr w:type="spellEnd"/>
            <w:r w:rsidR="00364F57" w:rsidRPr="00364F57">
              <w:t xml:space="preserve"> sa hľadá kvalitnejšia náhrada za uvedený externý softvér.</w:t>
            </w:r>
            <w:r>
              <w:t xml:space="preserve"> </w:t>
            </w:r>
          </w:p>
          <w:p w:rsidR="00AF37C0" w:rsidRDefault="00AF37C0" w:rsidP="00553B3A"/>
          <w:p w:rsidR="007F041C" w:rsidRDefault="007F041C" w:rsidP="00553B3A">
            <w:r w:rsidRPr="007F041C">
              <w:t xml:space="preserve">V oblasti zriadenia spoločného pracoviska s komerčným subjektom </w:t>
            </w:r>
            <w:r w:rsidR="00AF37C0">
              <w:t xml:space="preserve">(v rámci PP6) </w:t>
            </w:r>
            <w:r w:rsidRPr="007F041C">
              <w:t>bol</w:t>
            </w:r>
            <w:r w:rsidR="00AF37C0">
              <w:t xml:space="preserve"> pripravený návrh </w:t>
            </w:r>
            <w:r w:rsidRPr="007F041C">
              <w:t>zmluv</w:t>
            </w:r>
            <w:r w:rsidR="00AF37C0">
              <w:t>y</w:t>
            </w:r>
            <w:r w:rsidRPr="007F041C">
              <w:t>, čakáme však na realizáciu stavebných úprav pre fyzické zriadenie pracoviska. Rizikom môže byť meškanie stavebných prác.</w:t>
            </w:r>
          </w:p>
          <w:p w:rsidR="00204800" w:rsidRDefault="00204800" w:rsidP="005F0BD5"/>
          <w:p w:rsidR="00204800" w:rsidRPr="00553B3A" w:rsidRDefault="00204800" w:rsidP="00204800">
            <w:pPr>
              <w:rPr>
                <w:b/>
                <w:u w:val="single"/>
              </w:rPr>
            </w:pPr>
            <w:r w:rsidRPr="00553B3A">
              <w:rPr>
                <w:b/>
                <w:u w:val="single"/>
              </w:rPr>
              <w:t>Ak je realizácia aktivít v omeškaní, je potrebné uviesť dôvody omeškania a aké boli prijaté opatrenia:</w:t>
            </w:r>
          </w:p>
          <w:p w:rsidR="00455E01" w:rsidRDefault="00886725" w:rsidP="00553B3A">
            <w:r>
              <w:t>Opakovanie VO na IKT.</w:t>
            </w:r>
          </w:p>
          <w:p w:rsidR="00647E2E" w:rsidRDefault="00647E2E" w:rsidP="005F0BD5"/>
        </w:tc>
      </w:tr>
      <w:tr w:rsidR="006D6EB3" w:rsidTr="003272E8">
        <w:tc>
          <w:tcPr>
            <w:tcW w:w="2660" w:type="dxa"/>
            <w:tcBorders>
              <w:bottom w:val="single" w:sz="4" w:space="0" w:color="auto"/>
            </w:tcBorders>
            <w:shd w:val="clear" w:color="auto" w:fill="9BD4F9" w:themeFill="background2" w:themeFillShade="E6"/>
          </w:tcPr>
          <w:p w:rsidR="006D6EB3" w:rsidRDefault="006D6EB3" w:rsidP="005F0BD5">
            <w:r w:rsidRPr="006D6EB3">
              <w:lastRenderedPageBreak/>
              <w:t>Aktivita 3.7 Pilotné projekty PU v Prešove v odbore Environmentálne inžinierstvo</w:t>
            </w:r>
          </w:p>
          <w:p w:rsidR="00E12A9A" w:rsidRPr="006D6EB3" w:rsidRDefault="00E12A9A" w:rsidP="005F0BD5">
            <w:r w:rsidRPr="00E12A9A">
              <w:t xml:space="preserve">(prof. RNDr. Marián </w:t>
            </w:r>
            <w:proofErr w:type="spellStart"/>
            <w:r w:rsidRPr="00E12A9A">
              <w:t>Reiffers</w:t>
            </w:r>
            <w:proofErr w:type="spellEnd"/>
            <w:r w:rsidRPr="00E12A9A">
              <w:t>, DrSc.)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204800" w:rsidRDefault="00204800" w:rsidP="00204800">
            <w:pPr>
              <w:rPr>
                <w:u w:val="single"/>
              </w:rPr>
            </w:pPr>
            <w:r w:rsidRPr="00204800">
              <w:rPr>
                <w:u w:val="single"/>
              </w:rPr>
              <w:t>V</w:t>
            </w:r>
            <w:r>
              <w:rPr>
                <w:u w:val="single"/>
              </w:rPr>
              <w:t>ecný pokrok v realizácii aktivity podľa PP:</w:t>
            </w:r>
          </w:p>
          <w:p w:rsidR="00204800" w:rsidRDefault="00204800" w:rsidP="00647E2E"/>
          <w:p w:rsidR="0018056B" w:rsidRDefault="0018056B" w:rsidP="0018056B">
            <w:pPr>
              <w:rPr>
                <w:u w:val="single"/>
              </w:rPr>
            </w:pPr>
            <w:r w:rsidRPr="00204800">
              <w:rPr>
                <w:u w:val="single"/>
              </w:rPr>
              <w:t>Stručný popis pokroku vo výskumných činnostiach</w:t>
            </w:r>
            <w:r>
              <w:rPr>
                <w:u w:val="single"/>
              </w:rPr>
              <w:t xml:space="preserve"> podľa PP</w:t>
            </w:r>
            <w:r w:rsidRPr="00204800">
              <w:rPr>
                <w:u w:val="single"/>
              </w:rPr>
              <w:t>:</w:t>
            </w:r>
          </w:p>
          <w:p w:rsidR="009262DA" w:rsidRDefault="009262DA" w:rsidP="00204800">
            <w:pPr>
              <w:rPr>
                <w:u w:val="single"/>
              </w:rPr>
            </w:pPr>
          </w:p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D</w:t>
            </w:r>
            <w:r w:rsidRPr="00204800">
              <w:rPr>
                <w:u w:val="single"/>
              </w:rPr>
              <w:t>osiahnuté výsledky aktivity: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R</w:t>
            </w:r>
            <w:r w:rsidRPr="00204800">
              <w:rPr>
                <w:u w:val="single"/>
              </w:rPr>
              <w:t>izikové oblasti:</w:t>
            </w:r>
          </w:p>
          <w:p w:rsidR="00204800" w:rsidRDefault="00204800" w:rsidP="005F0BD5"/>
          <w:p w:rsidR="00204800" w:rsidRPr="00204800" w:rsidRDefault="00204800" w:rsidP="00204800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04800">
              <w:rPr>
                <w:u w:val="single"/>
              </w:rPr>
              <w:t>k je realizácia aktivít v omeškaní, je potrebné uviesť dôvody omeškania a aké boli prijaté opatrenia:</w:t>
            </w:r>
          </w:p>
          <w:p w:rsidR="00647E2E" w:rsidRDefault="00647E2E" w:rsidP="005F0BD5"/>
          <w:p w:rsidR="00046029" w:rsidRDefault="00046029" w:rsidP="005F0BD5"/>
          <w:p w:rsidR="00046029" w:rsidRDefault="00046029" w:rsidP="005F0BD5"/>
        </w:tc>
      </w:tr>
      <w:tr w:rsidR="0065201F" w:rsidTr="003272E8">
        <w:tc>
          <w:tcPr>
            <w:tcW w:w="10490" w:type="dxa"/>
            <w:gridSpan w:val="2"/>
            <w:shd w:val="clear" w:color="auto" w:fill="9BD4F9" w:themeFill="background2" w:themeFillShade="E6"/>
            <w:vAlign w:val="bottom"/>
          </w:tcPr>
          <w:p w:rsidR="0065201F" w:rsidRPr="0065201F" w:rsidRDefault="0065201F" w:rsidP="0065201F">
            <w:pPr>
              <w:jc w:val="center"/>
              <w:rPr>
                <w:b/>
              </w:rPr>
            </w:pPr>
            <w:r w:rsidRPr="0065201F">
              <w:rPr>
                <w:b/>
              </w:rPr>
              <w:lastRenderedPageBreak/>
              <w:t>Podporné aktivity</w:t>
            </w:r>
          </w:p>
        </w:tc>
      </w:tr>
      <w:tr w:rsidR="0065201F" w:rsidTr="003272E8">
        <w:tc>
          <w:tcPr>
            <w:tcW w:w="2660" w:type="dxa"/>
            <w:shd w:val="clear" w:color="auto" w:fill="9BD4F9" w:themeFill="background2" w:themeFillShade="E6"/>
          </w:tcPr>
          <w:p w:rsidR="0065201F" w:rsidRDefault="006D6EB3" w:rsidP="005F0BD5">
            <w:r>
              <w:t>Riadenie projektu</w:t>
            </w:r>
          </w:p>
        </w:tc>
        <w:tc>
          <w:tcPr>
            <w:tcW w:w="7830" w:type="dxa"/>
          </w:tcPr>
          <w:p w:rsidR="00046029" w:rsidRDefault="00046029" w:rsidP="00046029">
            <w:r>
              <w:t>V mesiaci máj prebiehali štandardné práce spojené s riadením projektu. Vzhľadom na množstvo dodaných IKT zariadení prebiehali činnosti spojené s ich evidenciou, poistením a rozdelením medzi výskumníkov.</w:t>
            </w:r>
          </w:p>
          <w:p w:rsidR="00EA150F" w:rsidRDefault="00CF22ED" w:rsidP="00CF22ED">
            <w:r>
              <w:t xml:space="preserve">V úzkej spolupráci so stavebným dozorom, projektantom a dodávateľom stavebných prác boli riešené otázky týkajúce sa realizácie stavby. Zároveň prebiehala komunikácia do vnútra univerzity s cieľom zabezpečiť čo najplynulejšiu realizáciu stavebných prác a. </w:t>
            </w:r>
          </w:p>
        </w:tc>
      </w:tr>
      <w:tr w:rsidR="00EA150F" w:rsidTr="003272E8">
        <w:tc>
          <w:tcPr>
            <w:tcW w:w="2660" w:type="dxa"/>
            <w:shd w:val="clear" w:color="auto" w:fill="9BD4F9" w:themeFill="background2" w:themeFillShade="E6"/>
          </w:tcPr>
          <w:p w:rsidR="00EA150F" w:rsidRDefault="006D6EB3" w:rsidP="005F0BD5">
            <w:r w:rsidRPr="006D6EB3">
              <w:t>Publicita a informovanosť</w:t>
            </w:r>
          </w:p>
        </w:tc>
        <w:tc>
          <w:tcPr>
            <w:tcW w:w="7830" w:type="dxa"/>
          </w:tcPr>
          <w:p w:rsidR="00EA150F" w:rsidRDefault="00CF22ED" w:rsidP="005F0BD5">
            <w:r>
              <w:t xml:space="preserve">Prezentácia na </w:t>
            </w:r>
            <w:r w:rsidRPr="00CF22ED">
              <w:t xml:space="preserve">medzinárodnej konferencií </w:t>
            </w:r>
            <w:proofErr w:type="spellStart"/>
            <w:r w:rsidRPr="00CF22ED">
              <w:t>Nordugrid</w:t>
            </w:r>
            <w:proofErr w:type="spellEnd"/>
            <w:r w:rsidRPr="00CF22ED">
              <w:t xml:space="preserve"> 2015 (</w:t>
            </w:r>
            <w:hyperlink r:id="rId16" w:history="1">
              <w:r w:rsidR="00740C30" w:rsidRPr="00A510BF">
                <w:rPr>
                  <w:rStyle w:val="Hypertextovprepojenie"/>
                </w:rPr>
                <w:t>http://indico.hep.lu.se//conferenceDisplay.py?confId=1578</w:t>
              </w:r>
            </w:hyperlink>
            <w:r w:rsidRPr="00CF22ED">
              <w:t>).</w:t>
            </w:r>
          </w:p>
          <w:p w:rsidR="00740C30" w:rsidRDefault="00740C30" w:rsidP="005F0BD5">
            <w:proofErr w:type="spellStart"/>
            <w:r w:rsidRPr="00740C30">
              <w:t>Posterová</w:t>
            </w:r>
            <w:proofErr w:type="spellEnd"/>
            <w:r w:rsidRPr="00740C30">
              <w:t xml:space="preserve"> prezentácia výskumných výstupov na konferencii </w:t>
            </w:r>
            <w:proofErr w:type="spellStart"/>
            <w:r w:rsidRPr="00740C30">
              <w:t>Acoustical</w:t>
            </w:r>
            <w:proofErr w:type="spellEnd"/>
            <w:r w:rsidRPr="00740C30">
              <w:t xml:space="preserve"> Society</w:t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America</w:t>
            </w:r>
            <w:proofErr w:type="spellEnd"/>
            <w:r>
              <w:t xml:space="preserve"> (Kopčo, Andrejková) - </w:t>
            </w:r>
            <w:proofErr w:type="spellStart"/>
            <w:r w:rsidRPr="00740C30">
              <w:t>Nonnative</w:t>
            </w:r>
            <w:proofErr w:type="spellEnd"/>
            <w:r w:rsidRPr="00740C30">
              <w:t xml:space="preserve"> </w:t>
            </w:r>
            <w:proofErr w:type="spellStart"/>
            <w:r w:rsidRPr="00740C30">
              <w:t>Phonetic</w:t>
            </w:r>
            <w:proofErr w:type="spellEnd"/>
            <w:r w:rsidRPr="00740C30">
              <w:t xml:space="preserve"> </w:t>
            </w:r>
            <w:proofErr w:type="spellStart"/>
            <w:r w:rsidRPr="00740C30">
              <w:t>Category</w:t>
            </w:r>
            <w:proofErr w:type="spellEnd"/>
            <w:r w:rsidRPr="00740C30">
              <w:t xml:space="preserve"> </w:t>
            </w:r>
            <w:proofErr w:type="spellStart"/>
            <w:r w:rsidRPr="00740C30">
              <w:t>Training</w:t>
            </w:r>
            <w:proofErr w:type="spellEnd"/>
            <w:r w:rsidRPr="00740C30">
              <w:t xml:space="preserve"> in </w:t>
            </w:r>
            <w:proofErr w:type="spellStart"/>
            <w:r w:rsidRPr="00740C30">
              <w:t>Varying</w:t>
            </w:r>
            <w:proofErr w:type="spellEnd"/>
            <w:r w:rsidRPr="00740C30">
              <w:t xml:space="preserve"> </w:t>
            </w:r>
            <w:proofErr w:type="spellStart"/>
            <w:r w:rsidRPr="00740C30">
              <w:t>Acoustic</w:t>
            </w:r>
            <w:proofErr w:type="spellEnd"/>
            <w:r w:rsidRPr="00740C30">
              <w:t xml:space="preserve"> </w:t>
            </w:r>
            <w:proofErr w:type="spellStart"/>
            <w:r w:rsidRPr="00740C30">
              <w:t>Environments</w:t>
            </w:r>
            <w:proofErr w:type="spellEnd"/>
          </w:p>
          <w:p w:rsidR="00EA150F" w:rsidRDefault="00740C30" w:rsidP="005F0BD5">
            <w:hyperlink r:id="rId17" w:history="1">
              <w:r w:rsidRPr="00A510BF">
                <w:rPr>
                  <w:rStyle w:val="Hypertextovprepojenie"/>
                </w:rPr>
                <w:t>http://scitation.aip.org/content/asa/journal/jasa/137/4/10.1121/1.4920679</w:t>
              </w:r>
            </w:hyperlink>
          </w:p>
        </w:tc>
      </w:tr>
    </w:tbl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65201F" w:rsidRDefault="0065201F" w:rsidP="005F0BD5"/>
    <w:p w:rsidR="00EA150F" w:rsidRDefault="00EA150F" w:rsidP="005F0BD5"/>
    <w:p w:rsidR="00755127" w:rsidRDefault="00755127" w:rsidP="005F0BD5"/>
    <w:p w:rsidR="00755127" w:rsidRDefault="00755127" w:rsidP="005F0BD5"/>
    <w:p w:rsidR="00755127" w:rsidRDefault="00755127" w:rsidP="005F0BD5"/>
    <w:p w:rsidR="00755127" w:rsidRDefault="00755127" w:rsidP="005F0BD5"/>
    <w:p w:rsidR="00755127" w:rsidRDefault="00755127" w:rsidP="005F0BD5"/>
    <w:p w:rsidR="00755127" w:rsidRDefault="00755127" w:rsidP="005F0BD5"/>
    <w:p w:rsidR="00647E2E" w:rsidRDefault="00647E2E" w:rsidP="005F0BD5"/>
    <w:p w:rsidR="00EA150F" w:rsidRPr="00EA150F" w:rsidRDefault="00EA150F" w:rsidP="005F0BD5">
      <w:r>
        <w:t>_________________</w:t>
      </w:r>
    </w:p>
    <w:p w:rsidR="00EA150F" w:rsidRDefault="00EA150F" w:rsidP="005F0BD5">
      <w:pPr>
        <w:rPr>
          <w:rFonts w:ascii="Arial Narrow" w:hAnsi="Arial Narrow"/>
          <w:sz w:val="18"/>
          <w:szCs w:val="18"/>
        </w:rPr>
      </w:pPr>
      <w:r>
        <w:rPr>
          <w:rFonts w:eastAsiaTheme="minorEastAsia"/>
          <w:bCs/>
          <w:iCs/>
          <w:noProof/>
          <w:vertAlign w:val="superscript"/>
          <w:lang w:eastAsia="sk-SK"/>
        </w:rPr>
        <w:t xml:space="preserve">1 </w:t>
      </w:r>
      <w:r>
        <w:rPr>
          <w:rFonts w:ascii="Arial Narrow" w:hAnsi="Arial Narrow"/>
          <w:sz w:val="18"/>
          <w:szCs w:val="18"/>
        </w:rPr>
        <w:t>Stručný</w:t>
      </w:r>
      <w:r w:rsidRPr="00E156FE">
        <w:rPr>
          <w:rFonts w:ascii="Arial Narrow" w:hAnsi="Arial Narrow"/>
          <w:sz w:val="18"/>
          <w:szCs w:val="18"/>
        </w:rPr>
        <w:t xml:space="preserve"> p</w:t>
      </w:r>
      <w:r>
        <w:rPr>
          <w:rFonts w:ascii="Arial Narrow" w:hAnsi="Arial Narrow"/>
          <w:sz w:val="18"/>
          <w:szCs w:val="18"/>
        </w:rPr>
        <w:t xml:space="preserve">opis </w:t>
      </w:r>
      <w:r w:rsidRPr="00E156FE">
        <w:rPr>
          <w:rFonts w:ascii="Arial Narrow" w:hAnsi="Arial Narrow"/>
          <w:sz w:val="18"/>
          <w:szCs w:val="18"/>
        </w:rPr>
        <w:t>realizáci</w:t>
      </w:r>
      <w:r>
        <w:rPr>
          <w:rFonts w:ascii="Arial Narrow" w:hAnsi="Arial Narrow"/>
          <w:sz w:val="18"/>
          <w:szCs w:val="18"/>
        </w:rPr>
        <w:t>e</w:t>
      </w:r>
      <w:r w:rsidRPr="00E156FE">
        <w:rPr>
          <w:rFonts w:ascii="Arial Narrow" w:hAnsi="Arial Narrow"/>
          <w:sz w:val="18"/>
          <w:szCs w:val="18"/>
        </w:rPr>
        <w:t xml:space="preserve"> príslušnej aktivity projektu: súčasný stav verejného obstarávania,</w:t>
      </w:r>
      <w:r>
        <w:rPr>
          <w:rFonts w:ascii="Arial Narrow" w:hAnsi="Arial Narrow"/>
          <w:sz w:val="18"/>
          <w:szCs w:val="18"/>
        </w:rPr>
        <w:t xml:space="preserve"> pokrok v stavebných činnostiach, v dodaní tovarov a služieb, </w:t>
      </w:r>
      <w:r w:rsidR="0023192C">
        <w:rPr>
          <w:rFonts w:ascii="Arial Narrow" w:hAnsi="Arial Narrow"/>
          <w:sz w:val="18"/>
          <w:szCs w:val="18"/>
        </w:rPr>
        <w:t xml:space="preserve">stručný popis pokroku vo výskumných činnostiach, </w:t>
      </w:r>
      <w:r w:rsidRPr="00E156FE">
        <w:rPr>
          <w:rFonts w:ascii="Arial Narrow" w:hAnsi="Arial Narrow"/>
          <w:sz w:val="18"/>
          <w:szCs w:val="18"/>
        </w:rPr>
        <w:t xml:space="preserve"> dosiahnuté výsledky aktivity a pod.</w:t>
      </w:r>
      <w:r w:rsidR="0023192C">
        <w:rPr>
          <w:rFonts w:ascii="Arial Narrow" w:hAnsi="Arial Narrow"/>
          <w:sz w:val="18"/>
          <w:szCs w:val="18"/>
        </w:rPr>
        <w:t xml:space="preserve"> zároveň je nevyhnutné uviesť rizikové oblasti. </w:t>
      </w:r>
      <w:r w:rsidRPr="00E156FE">
        <w:rPr>
          <w:rFonts w:ascii="Arial Narrow" w:hAnsi="Arial Narrow"/>
          <w:sz w:val="18"/>
          <w:szCs w:val="18"/>
        </w:rPr>
        <w:t>Ak je realizácia aktivít v</w:t>
      </w:r>
      <w:r>
        <w:rPr>
          <w:rFonts w:ascii="Arial Narrow" w:hAnsi="Arial Narrow"/>
          <w:sz w:val="18"/>
          <w:szCs w:val="18"/>
        </w:rPr>
        <w:t> </w:t>
      </w:r>
      <w:r w:rsidRPr="00E156FE">
        <w:rPr>
          <w:rFonts w:ascii="Arial Narrow" w:hAnsi="Arial Narrow"/>
          <w:sz w:val="18"/>
          <w:szCs w:val="18"/>
        </w:rPr>
        <w:t>omeškaní</w:t>
      </w:r>
      <w:r>
        <w:rPr>
          <w:rFonts w:ascii="Arial Narrow" w:hAnsi="Arial Narrow"/>
          <w:sz w:val="18"/>
          <w:szCs w:val="18"/>
        </w:rPr>
        <w:t>, je potrebné uviesť</w:t>
      </w:r>
      <w:r w:rsidR="0023192C">
        <w:rPr>
          <w:rFonts w:ascii="Arial Narrow" w:hAnsi="Arial Narrow"/>
          <w:sz w:val="18"/>
          <w:szCs w:val="18"/>
        </w:rPr>
        <w:t xml:space="preserve"> dôvody omeškania a aké boli prijaté opatrenia. </w:t>
      </w:r>
      <w:r w:rsidRPr="00E156FE">
        <w:rPr>
          <w:rFonts w:ascii="Arial Narrow" w:hAnsi="Arial Narrow"/>
          <w:sz w:val="18"/>
          <w:szCs w:val="18"/>
        </w:rPr>
        <w:t xml:space="preserve"> V prípade, že je aktivita ukončená</w:t>
      </w:r>
      <w:r>
        <w:rPr>
          <w:rFonts w:ascii="Arial Narrow" w:hAnsi="Arial Narrow"/>
          <w:sz w:val="18"/>
          <w:szCs w:val="18"/>
        </w:rPr>
        <w:t xml:space="preserve">, uviesť </w:t>
      </w:r>
      <w:r w:rsidRPr="00E156FE">
        <w:rPr>
          <w:rFonts w:ascii="Arial Narrow" w:hAnsi="Arial Narrow"/>
          <w:sz w:val="18"/>
          <w:szCs w:val="18"/>
        </w:rPr>
        <w:t>len text „UKONČENÁ“</w:t>
      </w:r>
      <w:r>
        <w:rPr>
          <w:rFonts w:ascii="Arial Narrow" w:hAnsi="Arial Narrow"/>
          <w:sz w:val="18"/>
          <w:szCs w:val="18"/>
        </w:rPr>
        <w:t>.</w:t>
      </w:r>
    </w:p>
    <w:p w:rsidR="004F58C6" w:rsidRDefault="004F58C6">
      <w:pPr>
        <w:spacing w:after="200" w:line="276" w:lineRule="auto"/>
        <w:rPr>
          <w:rFonts w:eastAsiaTheme="minorEastAsia"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br w:type="page"/>
      </w:r>
    </w:p>
    <w:p w:rsidR="00755127" w:rsidRPr="00755127" w:rsidRDefault="00755127" w:rsidP="005F0BD5">
      <w:pPr>
        <w:rPr>
          <w:rFonts w:eastAsiaTheme="minorEastAsia"/>
          <w:bCs/>
          <w:iCs/>
          <w:noProof/>
          <w:lang w:eastAsia="sk-SK"/>
        </w:rPr>
      </w:pPr>
    </w:p>
    <w:p w:rsidR="00561E56" w:rsidRPr="00AC67D9" w:rsidRDefault="00EF13F2" w:rsidP="005F0BD5">
      <w:pPr>
        <w:rPr>
          <w:rFonts w:eastAsiaTheme="minorEastAsia"/>
          <w:b/>
          <w:bCs/>
          <w:iCs/>
          <w:noProof/>
          <w:lang w:eastAsia="sk-SK"/>
        </w:rPr>
      </w:pPr>
      <w:r>
        <w:rPr>
          <w:rFonts w:eastAsiaTheme="minorEastAsia"/>
          <w:bCs/>
          <w:iCs/>
          <w:noProof/>
          <w:lang w:eastAsia="sk-SK"/>
        </w:rPr>
        <w:t xml:space="preserve">3. Finančný pokrok v realizácii aktivít </w:t>
      </w:r>
    </w:p>
    <w:tbl>
      <w:tblPr>
        <w:tblStyle w:val="Mriekatabuky"/>
        <w:tblW w:w="10490" w:type="dxa"/>
        <w:jc w:val="center"/>
        <w:tblLook w:val="04A0" w:firstRow="1" w:lastRow="0" w:firstColumn="1" w:lastColumn="0" w:noHBand="0" w:noVBand="1"/>
      </w:tblPr>
      <w:tblGrid>
        <w:gridCol w:w="1845"/>
        <w:gridCol w:w="2833"/>
        <w:gridCol w:w="2835"/>
        <w:gridCol w:w="2977"/>
      </w:tblGrid>
      <w:tr w:rsidR="004B4C86" w:rsidRPr="00AC67D9" w:rsidTr="00FE4BD5">
        <w:trPr>
          <w:jc w:val="center"/>
        </w:trPr>
        <w:tc>
          <w:tcPr>
            <w:tcW w:w="10490" w:type="dxa"/>
            <w:gridSpan w:val="4"/>
            <w:shd w:val="clear" w:color="auto" w:fill="9BD4F9" w:themeFill="background2" w:themeFillShade="E6"/>
            <w:vAlign w:val="center"/>
          </w:tcPr>
          <w:p w:rsidR="004B4C86" w:rsidRPr="00AC67D9" w:rsidRDefault="004B4C86" w:rsidP="001A7CEA">
            <w:pPr>
              <w:jc w:val="center"/>
              <w:rPr>
                <w:rFonts w:eastAsiaTheme="minorEastAsia"/>
                <w:b/>
                <w:bCs/>
                <w:iCs/>
                <w:noProof/>
                <w:lang w:eastAsia="sk-SK"/>
              </w:rPr>
            </w:pPr>
            <w:r w:rsidRPr="00AC67D9">
              <w:rPr>
                <w:rFonts w:eastAsiaTheme="minorEastAsia"/>
                <w:b/>
                <w:bCs/>
                <w:iCs/>
                <w:noProof/>
                <w:lang w:eastAsia="sk-SK"/>
              </w:rPr>
              <w:t>Finančný pokrok v realizácii aktivít</w:t>
            </w:r>
            <w:r>
              <w:rPr>
                <w:rFonts w:eastAsiaTheme="minorEastAsia"/>
                <w:b/>
                <w:bCs/>
                <w:iCs/>
                <w:noProof/>
                <w:vertAlign w:val="superscript"/>
                <w:lang w:eastAsia="sk-SK"/>
              </w:rPr>
              <w:t>2</w:t>
            </w:r>
          </w:p>
        </w:tc>
      </w:tr>
      <w:tr w:rsidR="004B4C86" w:rsidRPr="0065201F" w:rsidTr="00FE4BD5">
        <w:trPr>
          <w:jc w:val="center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4B4C86" w:rsidRPr="0065201F" w:rsidRDefault="004B4C86" w:rsidP="001A7CEA">
            <w:pPr>
              <w:jc w:val="center"/>
              <w:rPr>
                <w:b/>
              </w:rPr>
            </w:pPr>
            <w:r w:rsidRPr="0065201F">
              <w:rPr>
                <w:b/>
              </w:rPr>
              <w:t>Hlavné aktivity</w:t>
            </w:r>
          </w:p>
        </w:tc>
      </w:tr>
      <w:tr w:rsidR="004B4C86" w:rsidTr="00FE4BD5">
        <w:trPr>
          <w:jc w:val="center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4B4C86" w:rsidRPr="00430090" w:rsidRDefault="00F10985" w:rsidP="00430090">
            <w:pPr>
              <w:jc w:val="center"/>
              <w:rPr>
                <w:b/>
              </w:rPr>
            </w:pPr>
            <w:r>
              <w:rPr>
                <w:b/>
              </w:rPr>
              <w:t xml:space="preserve">Názov aktivity </w:t>
            </w:r>
          </w:p>
        </w:tc>
        <w:tc>
          <w:tcPr>
            <w:tcW w:w="2833" w:type="dxa"/>
            <w:shd w:val="clear" w:color="auto" w:fill="9BD4F9" w:themeFill="background2" w:themeFillShade="E6"/>
            <w:vAlign w:val="center"/>
          </w:tcPr>
          <w:p w:rsidR="004B4C86" w:rsidRPr="00430090" w:rsidRDefault="004B4C86" w:rsidP="00D939DF">
            <w:pPr>
              <w:jc w:val="center"/>
              <w:rPr>
                <w:b/>
              </w:rPr>
            </w:pPr>
            <w:r w:rsidRPr="00430090">
              <w:rPr>
                <w:b/>
              </w:rPr>
              <w:t>Vyčerpaná</w:t>
            </w:r>
            <w:r w:rsidR="00D939DF" w:rsidRPr="00430090">
              <w:rPr>
                <w:b/>
              </w:rPr>
              <w:t xml:space="preserve"> </w:t>
            </w:r>
            <w:r w:rsidR="00D939DF">
              <w:rPr>
                <w:b/>
              </w:rPr>
              <w:t>s</w:t>
            </w:r>
            <w:r w:rsidR="00D939DF" w:rsidRPr="00430090">
              <w:rPr>
                <w:b/>
              </w:rPr>
              <w:t>uma NFP</w:t>
            </w:r>
          </w:p>
        </w:tc>
        <w:tc>
          <w:tcPr>
            <w:tcW w:w="2835" w:type="dxa"/>
            <w:shd w:val="clear" w:color="auto" w:fill="9BD4F9" w:themeFill="background2" w:themeFillShade="E6"/>
            <w:vAlign w:val="center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 w:rsidRPr="00430090">
              <w:rPr>
                <w:b/>
              </w:rPr>
              <w:t>Zostatok</w:t>
            </w:r>
          </w:p>
        </w:tc>
        <w:tc>
          <w:tcPr>
            <w:tcW w:w="2977" w:type="dxa"/>
            <w:shd w:val="clear" w:color="auto" w:fill="9BD4F9" w:themeFill="background2" w:themeFillShade="E6"/>
            <w:vAlign w:val="center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>
              <w:rPr>
                <w:b/>
              </w:rPr>
              <w:t>Odhad nedočerpania</w:t>
            </w:r>
          </w:p>
        </w:tc>
      </w:tr>
      <w:tr w:rsidR="00763AA8" w:rsidTr="00FE4BD5">
        <w:trPr>
          <w:jc w:val="center"/>
        </w:trPr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1A7CEA">
            <w:r w:rsidRPr="006D6EB3">
              <w:t>Aktivita 1.1 Etablovanie UVP TECHNICOM v súlade s adekvátnymi princípmi vedeckého manažmentu.</w:t>
            </w:r>
          </w:p>
        </w:tc>
        <w:tc>
          <w:tcPr>
            <w:tcW w:w="2833" w:type="dxa"/>
            <w:vAlign w:val="center"/>
          </w:tcPr>
          <w:p w:rsidR="00763AA8" w:rsidRPr="004F58C6" w:rsidRDefault="00FE4BD5" w:rsidP="00FE4BD5">
            <w:pPr>
              <w:jc w:val="right"/>
            </w:pPr>
            <w:r w:rsidRPr="004F58C6">
              <w:t>2 564,04</w:t>
            </w:r>
          </w:p>
        </w:tc>
        <w:tc>
          <w:tcPr>
            <w:tcW w:w="2835" w:type="dxa"/>
            <w:vAlign w:val="center"/>
          </w:tcPr>
          <w:p w:rsidR="00763AA8" w:rsidRPr="004F58C6" w:rsidRDefault="00FE4BD5" w:rsidP="00FE4BD5">
            <w:pPr>
              <w:jc w:val="right"/>
            </w:pPr>
            <w:r w:rsidRPr="004F58C6">
              <w:t>15 531,96</w:t>
            </w:r>
          </w:p>
        </w:tc>
        <w:tc>
          <w:tcPr>
            <w:tcW w:w="2977" w:type="dxa"/>
            <w:vAlign w:val="center"/>
          </w:tcPr>
          <w:p w:rsidR="00763AA8" w:rsidRDefault="00763AA8" w:rsidP="001A7CEA"/>
        </w:tc>
      </w:tr>
      <w:tr w:rsidR="00763AA8" w:rsidTr="00FE4BD5">
        <w:trPr>
          <w:jc w:val="center"/>
        </w:trPr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1A7CEA">
            <w:r w:rsidRPr="006D6EB3">
              <w:t>Aktivita 1.2 Metodická, odborná a realizačná podpora riešenia predkladaného projektu</w:t>
            </w:r>
          </w:p>
        </w:tc>
        <w:tc>
          <w:tcPr>
            <w:tcW w:w="2833" w:type="dxa"/>
            <w:vAlign w:val="center"/>
          </w:tcPr>
          <w:p w:rsidR="00763AA8" w:rsidRPr="004F58C6" w:rsidRDefault="00FE4BD5" w:rsidP="00FE4BD5">
            <w:pPr>
              <w:jc w:val="right"/>
            </w:pPr>
            <w:r w:rsidRPr="004F58C6">
              <w:t>796,36</w:t>
            </w:r>
          </w:p>
        </w:tc>
        <w:tc>
          <w:tcPr>
            <w:tcW w:w="2835" w:type="dxa"/>
            <w:vAlign w:val="center"/>
          </w:tcPr>
          <w:p w:rsidR="00763AA8" w:rsidRPr="004F58C6" w:rsidRDefault="00FE4BD5" w:rsidP="00FE4BD5">
            <w:pPr>
              <w:jc w:val="right"/>
            </w:pPr>
            <w:r w:rsidRPr="004F58C6">
              <w:t>13 048,84</w:t>
            </w:r>
          </w:p>
        </w:tc>
        <w:tc>
          <w:tcPr>
            <w:tcW w:w="2977" w:type="dxa"/>
            <w:vAlign w:val="center"/>
          </w:tcPr>
          <w:p w:rsidR="00763AA8" w:rsidRDefault="00763AA8" w:rsidP="001A7CEA"/>
        </w:tc>
      </w:tr>
      <w:tr w:rsidR="00763AA8" w:rsidTr="00FE4BD5">
        <w:trPr>
          <w:jc w:val="center"/>
        </w:trPr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1A7CEA">
            <w:r w:rsidRPr="006D6EB3">
              <w:t>Aktivita 1.3 Príprava a zabezpečenie služieb pre udržateľný chod UVP TECHNICOM</w:t>
            </w:r>
          </w:p>
        </w:tc>
        <w:tc>
          <w:tcPr>
            <w:tcW w:w="2833" w:type="dxa"/>
            <w:vAlign w:val="center"/>
          </w:tcPr>
          <w:p w:rsidR="00763AA8" w:rsidRPr="004F58C6" w:rsidRDefault="00FE4BD5" w:rsidP="00FE4BD5">
            <w:pPr>
              <w:jc w:val="right"/>
            </w:pPr>
            <w:r w:rsidRPr="004F58C6">
              <w:t>189,20</w:t>
            </w:r>
          </w:p>
        </w:tc>
        <w:tc>
          <w:tcPr>
            <w:tcW w:w="2835" w:type="dxa"/>
            <w:vAlign w:val="center"/>
          </w:tcPr>
          <w:p w:rsidR="00763AA8" w:rsidRPr="004F58C6" w:rsidRDefault="00FE4BD5" w:rsidP="00FE4BD5">
            <w:pPr>
              <w:jc w:val="right"/>
            </w:pPr>
            <w:r w:rsidRPr="004F58C6">
              <w:t>19 414,24</w:t>
            </w:r>
          </w:p>
        </w:tc>
        <w:tc>
          <w:tcPr>
            <w:tcW w:w="2977" w:type="dxa"/>
            <w:vAlign w:val="center"/>
          </w:tcPr>
          <w:p w:rsidR="00763AA8" w:rsidRDefault="00763AA8" w:rsidP="001A7CEA"/>
        </w:tc>
      </w:tr>
      <w:tr w:rsidR="00763AA8" w:rsidTr="00FE4BD5">
        <w:trPr>
          <w:jc w:val="center"/>
        </w:trPr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1A7CEA">
            <w:r w:rsidRPr="006D6EB3">
              <w:t>Aktivita 2.1. Vybudovanie stavebných objektov a príslušnej infraštruktúry v areáli TUKE</w:t>
            </w:r>
          </w:p>
        </w:tc>
        <w:tc>
          <w:tcPr>
            <w:tcW w:w="2833" w:type="dxa"/>
            <w:vAlign w:val="center"/>
          </w:tcPr>
          <w:p w:rsidR="00763AA8" w:rsidRDefault="00763AA8" w:rsidP="00FE4BD5">
            <w:pPr>
              <w:jc w:val="right"/>
            </w:pPr>
          </w:p>
          <w:p w:rsidR="00763AA8" w:rsidRDefault="00763AA8" w:rsidP="00FE4BD5">
            <w:pPr>
              <w:jc w:val="right"/>
            </w:pPr>
          </w:p>
        </w:tc>
        <w:tc>
          <w:tcPr>
            <w:tcW w:w="2835" w:type="dxa"/>
            <w:vAlign w:val="center"/>
          </w:tcPr>
          <w:p w:rsidR="00763AA8" w:rsidRDefault="00763AA8" w:rsidP="00FE4BD5">
            <w:pPr>
              <w:jc w:val="right"/>
            </w:pPr>
          </w:p>
        </w:tc>
        <w:tc>
          <w:tcPr>
            <w:tcW w:w="2977" w:type="dxa"/>
            <w:vAlign w:val="center"/>
          </w:tcPr>
          <w:p w:rsidR="00763AA8" w:rsidRDefault="00763AA8" w:rsidP="001A7CEA"/>
        </w:tc>
      </w:tr>
      <w:tr w:rsidR="00763AA8" w:rsidTr="00FE4BD5">
        <w:trPr>
          <w:jc w:val="center"/>
        </w:trPr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1A7CEA">
            <w:r w:rsidRPr="006D6EB3">
              <w:t xml:space="preserve">Aktivita 2.2. Vybavenie objektov UVP na TUKE prístrojovou, IKT a špecializovanou technikou pre potreby </w:t>
            </w:r>
            <w:proofErr w:type="spellStart"/>
            <w:r w:rsidRPr="006D6EB3">
              <w:t>VaV</w:t>
            </w:r>
            <w:proofErr w:type="spellEnd"/>
          </w:p>
        </w:tc>
        <w:tc>
          <w:tcPr>
            <w:tcW w:w="2833" w:type="dxa"/>
            <w:vAlign w:val="center"/>
          </w:tcPr>
          <w:p w:rsidR="00763AA8" w:rsidRDefault="00763AA8" w:rsidP="00FE4BD5">
            <w:pPr>
              <w:jc w:val="right"/>
            </w:pPr>
          </w:p>
          <w:p w:rsidR="00763AA8" w:rsidRDefault="00763AA8" w:rsidP="00FE4BD5">
            <w:pPr>
              <w:jc w:val="right"/>
            </w:pPr>
          </w:p>
        </w:tc>
        <w:tc>
          <w:tcPr>
            <w:tcW w:w="2835" w:type="dxa"/>
            <w:vAlign w:val="center"/>
          </w:tcPr>
          <w:p w:rsidR="00763AA8" w:rsidRDefault="00763AA8" w:rsidP="00FE4BD5">
            <w:pPr>
              <w:jc w:val="right"/>
            </w:pPr>
          </w:p>
        </w:tc>
        <w:tc>
          <w:tcPr>
            <w:tcW w:w="2977" w:type="dxa"/>
            <w:vAlign w:val="center"/>
          </w:tcPr>
          <w:p w:rsidR="00763AA8" w:rsidRDefault="00763AA8" w:rsidP="001A7CEA"/>
        </w:tc>
      </w:tr>
      <w:tr w:rsidR="00763AA8" w:rsidTr="00FE4BD5">
        <w:trPr>
          <w:jc w:val="center"/>
        </w:trPr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1A7CEA">
            <w:r w:rsidRPr="006D6EB3">
              <w:t>Aktivita 2.3 Nadstavba, zateplenie a modernizácia časti UVP TECHNICOM na Jesennej 5 v Košiciach</w:t>
            </w:r>
          </w:p>
        </w:tc>
        <w:tc>
          <w:tcPr>
            <w:tcW w:w="2833" w:type="dxa"/>
            <w:vAlign w:val="center"/>
          </w:tcPr>
          <w:p w:rsidR="00763AA8" w:rsidRPr="004F58C6" w:rsidRDefault="001A7CEA" w:rsidP="00FE4BD5">
            <w:pPr>
              <w:jc w:val="right"/>
            </w:pPr>
            <w:r w:rsidRPr="004F58C6">
              <w:t>0,00</w:t>
            </w:r>
          </w:p>
        </w:tc>
        <w:tc>
          <w:tcPr>
            <w:tcW w:w="2835" w:type="dxa"/>
            <w:vAlign w:val="center"/>
          </w:tcPr>
          <w:p w:rsidR="00763AA8" w:rsidRPr="004F58C6" w:rsidRDefault="00FE4BD5" w:rsidP="00FE4BD5">
            <w:pPr>
              <w:jc w:val="right"/>
            </w:pPr>
            <w:r w:rsidRPr="004F58C6">
              <w:t>789 105,22</w:t>
            </w:r>
          </w:p>
        </w:tc>
        <w:tc>
          <w:tcPr>
            <w:tcW w:w="2977" w:type="dxa"/>
            <w:vAlign w:val="center"/>
          </w:tcPr>
          <w:p w:rsidR="00763AA8" w:rsidRDefault="00763AA8" w:rsidP="001A7CEA"/>
        </w:tc>
      </w:tr>
      <w:tr w:rsidR="00763AA8" w:rsidTr="00FE4BD5">
        <w:trPr>
          <w:jc w:val="center"/>
        </w:trPr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763AA8" w:rsidRDefault="00763AA8" w:rsidP="001A7CEA">
            <w:r w:rsidRPr="006D6EB3">
              <w:t xml:space="preserve">Aktivita 2.4  </w:t>
            </w:r>
            <w:r w:rsidRPr="006D6EB3">
              <w:lastRenderedPageBreak/>
              <w:t>Vybavenie UVP TECHNICOM Jesenná 5 infraštruktúrou potrebnou k realizácii aplikovaného výskumu</w:t>
            </w:r>
          </w:p>
        </w:tc>
        <w:tc>
          <w:tcPr>
            <w:tcW w:w="2833" w:type="dxa"/>
            <w:vAlign w:val="center"/>
          </w:tcPr>
          <w:p w:rsidR="00763AA8" w:rsidRPr="004F58C6" w:rsidRDefault="00FE4BD5" w:rsidP="001A7CEA">
            <w:pPr>
              <w:jc w:val="right"/>
            </w:pPr>
            <w:r w:rsidRPr="004F58C6">
              <w:lastRenderedPageBreak/>
              <w:t>3 030,00</w:t>
            </w:r>
          </w:p>
        </w:tc>
        <w:tc>
          <w:tcPr>
            <w:tcW w:w="2835" w:type="dxa"/>
            <w:vAlign w:val="center"/>
          </w:tcPr>
          <w:p w:rsidR="00763AA8" w:rsidRPr="004F58C6" w:rsidRDefault="00FE4BD5" w:rsidP="00FE4BD5">
            <w:pPr>
              <w:jc w:val="right"/>
            </w:pPr>
            <w:r w:rsidRPr="004F58C6">
              <w:t>2 477 337,85</w:t>
            </w:r>
          </w:p>
        </w:tc>
        <w:tc>
          <w:tcPr>
            <w:tcW w:w="2977" w:type="dxa"/>
            <w:vAlign w:val="center"/>
          </w:tcPr>
          <w:p w:rsidR="00763AA8" w:rsidRDefault="00763AA8" w:rsidP="001A7CEA"/>
        </w:tc>
      </w:tr>
      <w:tr w:rsidR="00763AA8" w:rsidTr="00FE4BD5">
        <w:trPr>
          <w:jc w:val="center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1A7CEA">
            <w:r w:rsidRPr="006D6EB3">
              <w:lastRenderedPageBreak/>
              <w:t>Aktivita 2.5 Výstavba nových výskumných priestorov partnera Prešovská univerzita - UNIPOLAB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FE4BD5">
            <w:pPr>
              <w:jc w:val="right"/>
            </w:pPr>
          </w:p>
          <w:p w:rsidR="00763AA8" w:rsidRDefault="00763AA8" w:rsidP="00FE4BD5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FE4BD5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1A7CEA"/>
        </w:tc>
      </w:tr>
      <w:tr w:rsidR="00763AA8" w:rsidTr="00FE4BD5">
        <w:trPr>
          <w:jc w:val="center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1A7CEA">
            <w:r w:rsidRPr="006D6EB3">
              <w:t>Aktivita 2.6  Vybavenie priestorov partnera PU nevyhnutnou prístrojovou, laboratórnou a IKT infraštruktúrou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FE4BD5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FE4BD5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1A7CEA"/>
        </w:tc>
      </w:tr>
      <w:tr w:rsidR="00763AA8" w:rsidTr="00FE4BD5">
        <w:trPr>
          <w:jc w:val="center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1A7CEA">
            <w:r w:rsidRPr="006D6EB3">
              <w:t>Aktivita 3.1 Pilotné projekty v odbore  Informačné a komunikačné technológie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FE4BD5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FE4BD5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1A7CEA"/>
        </w:tc>
      </w:tr>
      <w:tr w:rsidR="00763AA8" w:rsidTr="00FE4BD5">
        <w:trPr>
          <w:jc w:val="center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1A7CEA">
            <w:r w:rsidRPr="006D6EB3">
              <w:t>Aktivita 3.2 Pilotné projekty v odbore Elektrotechnika, automatizácia a riadiace systémy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FE4BD5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FE4BD5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1A7CEA"/>
        </w:tc>
      </w:tr>
      <w:tr w:rsidR="00763AA8" w:rsidTr="00FE4BD5">
        <w:trPr>
          <w:jc w:val="center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1A7CEA">
            <w:r w:rsidRPr="006D6EB3">
              <w:t>Aktivita 3.3 Pilotné projekty v odbore Strojárstvo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FE4BD5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FE4BD5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1A7CEA"/>
        </w:tc>
      </w:tr>
      <w:tr w:rsidR="00763AA8" w:rsidTr="00FE4BD5">
        <w:trPr>
          <w:jc w:val="center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Default="00763AA8" w:rsidP="001A7CEA">
            <w:r w:rsidRPr="006D6EB3">
              <w:t>Aktivita 3.4 Pilotné projekty v odbore Stavebné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FE4BD5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FE4BD5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1A7CEA"/>
        </w:tc>
      </w:tr>
      <w:tr w:rsidR="00763AA8" w:rsidTr="00FE4BD5">
        <w:trPr>
          <w:jc w:val="center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Pr="006D6EB3" w:rsidRDefault="00763AA8" w:rsidP="001A7CEA">
            <w:r w:rsidRPr="006D6EB3">
              <w:t>Aktivita 3.5 Pilotné projekty v odbore Environmentálne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Default="00763AA8" w:rsidP="00FE4BD5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Default="00763AA8" w:rsidP="00FE4BD5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1A7CEA"/>
        </w:tc>
      </w:tr>
      <w:tr w:rsidR="00763AA8" w:rsidTr="00FE4BD5">
        <w:trPr>
          <w:jc w:val="center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Pr="006D6EB3" w:rsidRDefault="00763AA8" w:rsidP="001A7CEA">
            <w:r w:rsidRPr="006D6EB3">
              <w:lastRenderedPageBreak/>
              <w:t>Aktivita 3.6.  Pilotné projekty UPJŠ v odbore Informačné a komunikačné technológie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Pr="004F58C6" w:rsidRDefault="00FE4BD5" w:rsidP="00FE4BD5">
            <w:pPr>
              <w:jc w:val="right"/>
            </w:pPr>
            <w:r w:rsidRPr="004F58C6">
              <w:t>363 498,63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Pr="004F58C6" w:rsidRDefault="00FE4BD5" w:rsidP="00FE4BD5">
            <w:pPr>
              <w:jc w:val="right"/>
            </w:pPr>
            <w:r w:rsidRPr="004F58C6">
              <w:t>623 088,91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1A7CEA"/>
        </w:tc>
      </w:tr>
      <w:tr w:rsidR="00763AA8" w:rsidTr="00FE4BD5">
        <w:trPr>
          <w:jc w:val="center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763AA8" w:rsidRPr="006D6EB3" w:rsidRDefault="00763AA8" w:rsidP="001A7CEA">
            <w:r w:rsidRPr="006D6EB3">
              <w:t>Aktivita 3.7 Pilotné projekty PU v Prešove v odbore Environmentálne inžinierstvo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763AA8" w:rsidRPr="004F58C6" w:rsidRDefault="00763AA8" w:rsidP="00FE4BD5">
            <w:pPr>
              <w:jc w:val="righ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63AA8" w:rsidRPr="004F58C6" w:rsidRDefault="00763AA8" w:rsidP="00FE4BD5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63AA8" w:rsidRDefault="00763AA8" w:rsidP="001A7CEA"/>
        </w:tc>
      </w:tr>
      <w:tr w:rsidR="004B4C86" w:rsidTr="00FE4BD5">
        <w:trPr>
          <w:jc w:val="center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 w:rsidRPr="00430090">
              <w:rPr>
                <w:b/>
              </w:rPr>
              <w:t>Spolu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86" w:rsidRPr="004F58C6" w:rsidRDefault="001A7CEA" w:rsidP="001A7CEA">
            <w:pPr>
              <w:jc w:val="right"/>
            </w:pPr>
            <w:r w:rsidRPr="004F58C6">
              <w:t>370 078,23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4C86" w:rsidRPr="004F58C6" w:rsidRDefault="001A7CEA" w:rsidP="001A7CEA">
            <w:pPr>
              <w:jc w:val="right"/>
            </w:pPr>
            <w:r w:rsidRPr="004F58C6">
              <w:t>3 937 527,02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B4C86" w:rsidRDefault="004B4C86" w:rsidP="001A7CEA"/>
        </w:tc>
      </w:tr>
      <w:tr w:rsidR="004B4C86" w:rsidRPr="0065201F" w:rsidTr="00FE4BD5">
        <w:trPr>
          <w:jc w:val="center"/>
        </w:trPr>
        <w:tc>
          <w:tcPr>
            <w:tcW w:w="10490" w:type="dxa"/>
            <w:gridSpan w:val="4"/>
            <w:shd w:val="clear" w:color="auto" w:fill="9BD4F9" w:themeFill="background2" w:themeFillShade="E6"/>
            <w:vAlign w:val="center"/>
          </w:tcPr>
          <w:p w:rsidR="004B4C86" w:rsidRPr="0065201F" w:rsidRDefault="004B4C86" w:rsidP="001A7CEA">
            <w:pPr>
              <w:jc w:val="center"/>
              <w:rPr>
                <w:b/>
              </w:rPr>
            </w:pPr>
            <w:r w:rsidRPr="0065201F">
              <w:rPr>
                <w:b/>
              </w:rPr>
              <w:t>Podporné aktivity</w:t>
            </w:r>
          </w:p>
        </w:tc>
      </w:tr>
      <w:tr w:rsidR="00442CAC" w:rsidTr="00FE4BD5">
        <w:trPr>
          <w:jc w:val="center"/>
        </w:trPr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442CAC" w:rsidRDefault="00442CAC" w:rsidP="001A7CEA">
            <w:r>
              <w:t>Riadenie projektu</w:t>
            </w:r>
          </w:p>
        </w:tc>
        <w:tc>
          <w:tcPr>
            <w:tcW w:w="2833" w:type="dxa"/>
            <w:vAlign w:val="center"/>
          </w:tcPr>
          <w:p w:rsidR="00442CAC" w:rsidRPr="004F58C6" w:rsidRDefault="00FE4BD5" w:rsidP="00FE4BD5">
            <w:pPr>
              <w:jc w:val="right"/>
            </w:pPr>
            <w:r w:rsidRPr="004F58C6">
              <w:t>54 943,37</w:t>
            </w:r>
          </w:p>
        </w:tc>
        <w:tc>
          <w:tcPr>
            <w:tcW w:w="2835" w:type="dxa"/>
            <w:vAlign w:val="center"/>
          </w:tcPr>
          <w:p w:rsidR="00442CAC" w:rsidRPr="004F58C6" w:rsidRDefault="00FE4BD5" w:rsidP="00FE4BD5">
            <w:pPr>
              <w:jc w:val="right"/>
            </w:pPr>
            <w:r w:rsidRPr="004F58C6">
              <w:t>113 708,03</w:t>
            </w:r>
          </w:p>
        </w:tc>
        <w:tc>
          <w:tcPr>
            <w:tcW w:w="2977" w:type="dxa"/>
            <w:vAlign w:val="center"/>
          </w:tcPr>
          <w:p w:rsidR="00442CAC" w:rsidRDefault="00442CAC" w:rsidP="001A7CEA"/>
        </w:tc>
      </w:tr>
      <w:tr w:rsidR="00442CAC" w:rsidTr="00FE4BD5">
        <w:trPr>
          <w:jc w:val="center"/>
        </w:trPr>
        <w:tc>
          <w:tcPr>
            <w:tcW w:w="1845" w:type="dxa"/>
            <w:tcBorders>
              <w:bottom w:val="single" w:sz="4" w:space="0" w:color="auto"/>
            </w:tcBorders>
            <w:shd w:val="clear" w:color="auto" w:fill="9BD4F9" w:themeFill="background2" w:themeFillShade="E6"/>
            <w:vAlign w:val="center"/>
          </w:tcPr>
          <w:p w:rsidR="00442CAC" w:rsidRDefault="00442CAC" w:rsidP="001A7CEA">
            <w:r w:rsidRPr="006D6EB3">
              <w:t>Publicita a informovanosť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:rsidR="00442CAC" w:rsidRPr="004F58C6" w:rsidRDefault="001A7CEA" w:rsidP="00FE4BD5">
            <w:pPr>
              <w:jc w:val="right"/>
            </w:pPr>
            <w:r w:rsidRPr="004F58C6">
              <w:t>0,00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42CAC" w:rsidRPr="004F58C6" w:rsidRDefault="00FE4BD5" w:rsidP="00FE4BD5">
            <w:pPr>
              <w:jc w:val="right"/>
            </w:pPr>
            <w:r w:rsidRPr="004F58C6">
              <w:t>10 167,88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42CAC" w:rsidRDefault="00442CAC" w:rsidP="001A7CEA"/>
        </w:tc>
      </w:tr>
      <w:tr w:rsidR="004B4C86" w:rsidTr="00FE4BD5">
        <w:trPr>
          <w:jc w:val="center"/>
        </w:trPr>
        <w:tc>
          <w:tcPr>
            <w:tcW w:w="1845" w:type="dxa"/>
            <w:shd w:val="clear" w:color="auto" w:fill="9BD4F9" w:themeFill="background2" w:themeFillShade="E6"/>
            <w:vAlign w:val="center"/>
          </w:tcPr>
          <w:p w:rsidR="004B4C86" w:rsidRPr="00430090" w:rsidRDefault="004B4C86" w:rsidP="00430090">
            <w:pPr>
              <w:jc w:val="center"/>
              <w:rPr>
                <w:b/>
              </w:rPr>
            </w:pPr>
            <w:r w:rsidRPr="00430090">
              <w:rPr>
                <w:b/>
              </w:rPr>
              <w:t>Spolu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4B4C86" w:rsidRPr="004F58C6" w:rsidRDefault="00FE4BD5" w:rsidP="00FE4BD5">
            <w:pPr>
              <w:jc w:val="right"/>
            </w:pPr>
            <w:r w:rsidRPr="004F58C6">
              <w:t>425 021,60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4C86" w:rsidRPr="004F58C6" w:rsidRDefault="00FE4BD5" w:rsidP="00FE4BD5">
            <w:pPr>
              <w:jc w:val="right"/>
            </w:pPr>
            <w:r w:rsidRPr="004F58C6">
              <w:t>4 061 402,93</w:t>
            </w:r>
          </w:p>
        </w:tc>
        <w:tc>
          <w:tcPr>
            <w:tcW w:w="2977" w:type="dxa"/>
            <w:vAlign w:val="center"/>
          </w:tcPr>
          <w:p w:rsidR="004B4C86" w:rsidRDefault="004B4C86" w:rsidP="001A7CEA"/>
        </w:tc>
      </w:tr>
    </w:tbl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EF13F2" w:rsidRDefault="00EF13F2" w:rsidP="005F0BD5"/>
    <w:p w:rsidR="006E4A8E" w:rsidRDefault="006E4A8E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763AA8" w:rsidRDefault="00763AA8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6E4A8E" w:rsidRDefault="006E4A8E" w:rsidP="005F0BD5"/>
    <w:p w:rsidR="00743E23" w:rsidRDefault="00743E23" w:rsidP="005F0BD5"/>
    <w:p w:rsidR="00743E23" w:rsidRDefault="00743E23" w:rsidP="005F0BD5"/>
    <w:p w:rsidR="00EF13F2" w:rsidRDefault="00EF13F2" w:rsidP="005F0BD5"/>
    <w:p w:rsidR="00755127" w:rsidRDefault="00755127" w:rsidP="005F0BD5"/>
    <w:p w:rsidR="00EF13F2" w:rsidRDefault="006E4A8E" w:rsidP="005F0BD5">
      <w:r>
        <w:t>______________________</w:t>
      </w:r>
    </w:p>
    <w:p w:rsidR="006E4A8E" w:rsidRDefault="006E4A8E" w:rsidP="006E4A8E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vertAlign w:val="superscript"/>
        </w:rPr>
        <w:t>2</w:t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Uvádzať </w:t>
      </w:r>
      <w:r w:rsidRPr="001254C2">
        <w:rPr>
          <w:rFonts w:ascii="Arial Narrow" w:hAnsi="Arial Narrow"/>
          <w:sz w:val="18"/>
          <w:szCs w:val="18"/>
        </w:rPr>
        <w:t xml:space="preserve"> kumulatívne </w:t>
      </w:r>
      <w:r>
        <w:rPr>
          <w:rFonts w:ascii="Arial Narrow" w:hAnsi="Arial Narrow"/>
          <w:sz w:val="18"/>
          <w:szCs w:val="18"/>
        </w:rPr>
        <w:t>vyčerpanú sumu NFP od začiatku realizácie projektu (t.j.</w:t>
      </w:r>
      <w:r w:rsidR="001A3961">
        <w:rPr>
          <w:rFonts w:ascii="Arial Narrow" w:hAnsi="Arial Narrow"/>
          <w:sz w:val="18"/>
          <w:szCs w:val="18"/>
        </w:rPr>
        <w:t xml:space="preserve"> sumu, ktorá už bola uhradená platobnou jednotkou</w:t>
      </w:r>
      <w:r>
        <w:rPr>
          <w:rFonts w:ascii="Arial Narrow" w:hAnsi="Arial Narrow"/>
          <w:sz w:val="18"/>
          <w:szCs w:val="18"/>
        </w:rPr>
        <w:t>).</w:t>
      </w:r>
    </w:p>
    <w:p w:rsidR="006E4A8E" w:rsidRPr="006E4A8E" w:rsidRDefault="006E4A8E" w:rsidP="005F0BD5"/>
    <w:p w:rsidR="00EF13F2" w:rsidRDefault="00EF13F2" w:rsidP="005F0BD5"/>
    <w:tbl>
      <w:tblPr>
        <w:tblpPr w:leftFromText="141" w:rightFromText="141" w:vertAnchor="text" w:horzAnchor="margin" w:tblpX="-601" w:tblpY="18"/>
        <w:tblOverlap w:val="never"/>
        <w:tblW w:w="10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9"/>
        <w:gridCol w:w="1566"/>
        <w:gridCol w:w="1699"/>
        <w:gridCol w:w="1703"/>
        <w:gridCol w:w="1417"/>
        <w:gridCol w:w="1979"/>
      </w:tblGrid>
      <w:tr w:rsidR="00680FE9" w:rsidRPr="00E156FE" w:rsidTr="001A7CEA">
        <w:trPr>
          <w:trHeight w:val="567"/>
        </w:trPr>
        <w:tc>
          <w:tcPr>
            <w:tcW w:w="5000" w:type="pct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A7CEA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lastRenderedPageBreak/>
              <w:t>Rozpočet projektu podľa skupín výdavkov</w:t>
            </w:r>
          </w:p>
        </w:tc>
      </w:tr>
      <w:tr w:rsidR="00680FE9" w:rsidRPr="00E156FE" w:rsidTr="001A7CEA">
        <w:trPr>
          <w:trHeight w:val="662"/>
        </w:trPr>
        <w:tc>
          <w:tcPr>
            <w:tcW w:w="1052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A7CEA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Názov skupiny výdavkov</w:t>
            </w:r>
          </w:p>
        </w:tc>
        <w:tc>
          <w:tcPr>
            <w:tcW w:w="154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A7CEA">
            <w:pPr>
              <w:ind w:left="-159" w:right="-115"/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Oprávnené výdavky</w:t>
            </w:r>
            <w:r w:rsidRPr="00E3587A">
              <w:rPr>
                <w:rFonts w:cs="Arial"/>
                <w:b/>
              </w:rPr>
              <w:br/>
              <w:t>(v EUR)</w:t>
            </w:r>
          </w:p>
        </w:tc>
        <w:tc>
          <w:tcPr>
            <w:tcW w:w="1473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A7CEA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Výdavky deklarované v </w:t>
            </w:r>
            <w:proofErr w:type="spellStart"/>
            <w:r w:rsidRPr="00E3587A">
              <w:rPr>
                <w:rFonts w:cs="Arial"/>
                <w:b/>
              </w:rPr>
              <w:t>ŽoP</w:t>
            </w:r>
            <w:proofErr w:type="spellEnd"/>
            <w:r w:rsidRPr="00E3587A">
              <w:rPr>
                <w:rFonts w:cs="Arial"/>
                <w:b/>
              </w:rPr>
              <w:t xml:space="preserve"> </w:t>
            </w:r>
            <w:r w:rsidRPr="00E3587A">
              <w:rPr>
                <w:rFonts w:cs="Arial"/>
                <w:b/>
              </w:rPr>
              <w:br/>
              <w:t>(v EUR)</w:t>
            </w:r>
          </w:p>
        </w:tc>
        <w:tc>
          <w:tcPr>
            <w:tcW w:w="93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A7CEA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Stav finančnej realizácie (v %) (podiel skutočne uhradených z plánovaných oprávnených výdavkov)</w:t>
            </w:r>
          </w:p>
        </w:tc>
      </w:tr>
      <w:tr w:rsidR="00680FE9" w:rsidRPr="00E156FE" w:rsidTr="001A7CEA">
        <w:trPr>
          <w:trHeight w:val="330"/>
        </w:trPr>
        <w:tc>
          <w:tcPr>
            <w:tcW w:w="105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680FE9" w:rsidRPr="00E3587A" w:rsidRDefault="00680FE9" w:rsidP="001A7CEA">
            <w:pPr>
              <w:rPr>
                <w:rFonts w:cs="Arial"/>
                <w:b/>
              </w:rPr>
            </w:pPr>
          </w:p>
        </w:tc>
        <w:tc>
          <w:tcPr>
            <w:tcW w:w="739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A7CEA">
            <w:pPr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Plánovaný stav</w:t>
            </w:r>
          </w:p>
        </w:tc>
        <w:tc>
          <w:tcPr>
            <w:tcW w:w="80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A7CEA">
            <w:pPr>
              <w:ind w:left="-22" w:right="-115"/>
              <w:jc w:val="center"/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Skutočný (aktuálny) stav</w:t>
            </w:r>
            <w:r>
              <w:rPr>
                <w:rStyle w:val="Odkaznapoznmkupodiarou"/>
                <w:rFonts w:cs="Arial"/>
                <w:b/>
              </w:rPr>
              <w:t>3</w:t>
            </w:r>
          </w:p>
        </w:tc>
        <w:tc>
          <w:tcPr>
            <w:tcW w:w="804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A7CEA">
            <w:pPr>
              <w:jc w:val="center"/>
              <w:rPr>
                <w:rFonts w:cs="Arial"/>
                <w:b/>
                <w:bCs/>
              </w:rPr>
            </w:pPr>
            <w:r w:rsidRPr="00E3587A">
              <w:rPr>
                <w:rFonts w:cs="Arial"/>
                <w:b/>
                <w:bCs/>
              </w:rPr>
              <w:t>Predložené na RO</w:t>
            </w:r>
          </w:p>
          <w:p w:rsidR="00680FE9" w:rsidRPr="00E3587A" w:rsidRDefault="00680FE9" w:rsidP="001A7C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69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A7CEA">
            <w:pPr>
              <w:jc w:val="center"/>
              <w:rPr>
                <w:rFonts w:cs="Arial"/>
                <w:b/>
                <w:bCs/>
              </w:rPr>
            </w:pPr>
            <w:r w:rsidRPr="00E3587A">
              <w:rPr>
                <w:rFonts w:cs="Arial"/>
                <w:b/>
                <w:bCs/>
              </w:rPr>
              <w:t>Schválené</w:t>
            </w:r>
            <w:r>
              <w:rPr>
                <w:rStyle w:val="Odkaznapoznmkupodiarou"/>
                <w:rFonts w:cs="Arial"/>
                <w:b/>
                <w:bCs/>
              </w:rPr>
              <w:t>4</w:t>
            </w:r>
            <w:r w:rsidRPr="00E3587A">
              <w:rPr>
                <w:rFonts w:cs="Arial"/>
                <w:b/>
                <w:bCs/>
              </w:rPr>
              <w:t xml:space="preserve"> výdavky projektu zo strany  PJ</w:t>
            </w:r>
          </w:p>
          <w:p w:rsidR="00680FE9" w:rsidRPr="00E3587A" w:rsidRDefault="00680FE9" w:rsidP="001A7CE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34" w:type="pct"/>
            <w:vMerge/>
            <w:tcBorders>
              <w:top w:val="single" w:sz="6" w:space="0" w:color="auto"/>
            </w:tcBorders>
            <w:shd w:val="clear" w:color="auto" w:fill="92CDDC"/>
            <w:vAlign w:val="center"/>
          </w:tcPr>
          <w:p w:rsidR="00680FE9" w:rsidRPr="00E3587A" w:rsidRDefault="00680FE9" w:rsidP="001A7CEA">
            <w:pPr>
              <w:jc w:val="center"/>
              <w:rPr>
                <w:rFonts w:cs="Arial"/>
                <w:b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>
              <w:t>610620 osobné náklady</w:t>
            </w:r>
          </w:p>
        </w:tc>
        <w:tc>
          <w:tcPr>
            <w:tcW w:w="73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1 027 042,08</w:t>
            </w:r>
          </w:p>
        </w:tc>
        <w:tc>
          <w:tcPr>
            <w:tcW w:w="80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694 166,33</w:t>
            </w:r>
          </w:p>
        </w:tc>
        <w:tc>
          <w:tcPr>
            <w:tcW w:w="804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638 639,17</w:t>
            </w:r>
          </w:p>
        </w:tc>
        <w:tc>
          <w:tcPr>
            <w:tcW w:w="669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80FE9" w:rsidRPr="004F58C6" w:rsidRDefault="002C4C1A" w:rsidP="002C4C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406 874,52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2C4C1A" w:rsidP="002C4C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39,62</w:t>
            </w: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>
              <w:t>631001 Tuzemské cestovné náklady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7 600,00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2 124,52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2 124,52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8557DA" w:rsidRPr="008557DA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>
              <w:t>631002 Zahraničné cestovné náhrady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37 080,03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24 425,57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2C4C1A" w:rsidP="002C4C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12 797,89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2C4C1A" w:rsidP="002C4C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12,93</w:t>
            </w: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326665" w:rsidRDefault="00680FE9" w:rsidP="001A7CEA">
            <w:r w:rsidRPr="00326665">
              <w:t>633001 Materiál - Interiérové vybavenie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84 070,00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 w:rsidRPr="00326665">
              <w:t>633002 Materiál Výpočtová technika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48 662,20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>
              <w:t xml:space="preserve">633003 Materiál Telekomunikačná technika 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896DFB" w:rsidRDefault="00680FE9" w:rsidP="001A7CEA">
            <w:r w:rsidRPr="00896DFB">
              <w:t>633004 Materiál Prevádzkové stroje, prístroje, zariadenie, technika a náradie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15 820,50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 w:rsidRPr="00896DFB">
              <w:t>633005 Materiál Špeciálne stroje, prístroje, zariadenie, technika a náradie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>
              <w:t xml:space="preserve">633006 Všeobecný materiál 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22 630,00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8E20F2" w:rsidRDefault="00680FE9" w:rsidP="001A7CEA">
            <w:r w:rsidRPr="008E20F2">
              <w:t>633009 Materiál Knihy, časopisy, noviny , učebnice, učebné pomôcky a kompenzačné pomôcky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8E20F2" w:rsidRDefault="00680FE9" w:rsidP="001A7CEA">
            <w:r w:rsidRPr="008E20F2">
              <w:t>633013 Materiál Softvér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8 330,00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3 030,00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3 030,00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2C4C1A" w:rsidP="002C4C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3 030,00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2C4C1A" w:rsidP="002C4C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36,37</w:t>
            </w: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 w:rsidRPr="008E20F2">
              <w:t>633018 Licencie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1129D3" w:rsidRDefault="00680FE9" w:rsidP="001A7CEA">
            <w:r w:rsidRPr="001129D3">
              <w:t>635002 Údržba Výpočtovej techniky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1129D3" w:rsidRDefault="00680FE9" w:rsidP="001A7CEA">
            <w:r w:rsidRPr="001129D3">
              <w:t>635004 Údržba Prevádzkových strojov, prístrojov, zariadení, techniky a náradia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 w:rsidRPr="001129D3">
              <w:lastRenderedPageBreak/>
              <w:t xml:space="preserve">635009 Údržba </w:t>
            </w:r>
            <w:proofErr w:type="spellStart"/>
            <w:r w:rsidRPr="001129D3">
              <w:t>softwéru</w:t>
            </w:r>
            <w:proofErr w:type="spellEnd"/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8E0B3B" w:rsidRDefault="00680FE9" w:rsidP="001A7CEA">
            <w:r w:rsidRPr="008E0B3B">
              <w:t>637001 Školenia, kurzy, semináre, porady, konferencie, sympóziá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1 112,47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909,88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8E0B3B" w:rsidRDefault="00680FE9" w:rsidP="001A7CEA">
            <w:r w:rsidRPr="008E0B3B">
              <w:t>637003 Propagácia, reklama a inzercia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8 537,88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 w:rsidRPr="008E0B3B">
              <w:t>637004 Všeobecné služby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1 210,71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2C4C1A" w:rsidP="002C4C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1 210,71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1A7CEA" w:rsidP="002C4C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1 21</w:t>
            </w:r>
            <w:r w:rsidR="002C4C1A" w:rsidRPr="004F58C6">
              <w:rPr>
                <w:rFonts w:ascii="Arial" w:hAnsi="Arial" w:cs="Arial"/>
                <w:sz w:val="16"/>
                <w:szCs w:val="16"/>
              </w:rPr>
              <w:t>0,71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2C4C1A" w:rsidP="002C4C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48,43</w:t>
            </w: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0659C1" w:rsidRDefault="00680FE9" w:rsidP="001A7CEA">
            <w:r w:rsidRPr="000659C1">
              <w:t>637005 Špeciálne služby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0659C1" w:rsidRDefault="00680FE9" w:rsidP="001A7CEA">
            <w:r w:rsidRPr="000659C1">
              <w:t>637011 Štúdie, expertízy, posudky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 w:rsidRPr="000659C1">
              <w:t>637012 Poplatky a odvody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153502" w:rsidRDefault="00680FE9" w:rsidP="001A7CEA">
            <w:r w:rsidRPr="00153502">
              <w:t>637015 Poistné iné ako do ZP, SP a povinného poistenia vozidla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16 000,00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153502" w:rsidRDefault="00680FE9" w:rsidP="001A7CEA">
            <w:r w:rsidRPr="00153502">
              <w:t>637027 Odmeny zamestnancov mimopracovného pomeru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23 641,50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13 737,41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2C4C1A" w:rsidP="002C4C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1 437,41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2C4C1A" w:rsidP="002C4C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1 108,48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2C4C1A" w:rsidP="002C4C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4,69</w:t>
            </w: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 w:rsidRPr="00153502">
              <w:t>711003 Nákup softvéru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94070C" w:rsidRDefault="00680FE9" w:rsidP="001A7CEA">
            <w:r w:rsidRPr="0094070C">
              <w:t>711004 Nákup licencií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94070C" w:rsidRDefault="00680FE9" w:rsidP="001A7CEA">
            <w:r w:rsidRPr="0094070C">
              <w:t>713001 Nákup interiérového vybavenia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 w:rsidRPr="0094070C">
              <w:t>713002 Nákup výpočtovej techniky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925 094,00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 w:rsidRPr="00A02D4C">
              <w:t>713003 Nákup telekomunikačnej techniky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F47E8E" w:rsidRDefault="00680FE9" w:rsidP="001A7CEA">
            <w:r w:rsidRPr="00F47E8E">
              <w:t>713004 Nákup prevádzkových strojov, prístrojov, zariadení, techniky a</w:t>
            </w:r>
            <w:r w:rsidR="002C4C1A">
              <w:t> </w:t>
            </w:r>
            <w:r w:rsidRPr="00F47E8E">
              <w:t>náradia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1 269 578,48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F47E8E" w:rsidRDefault="00680FE9" w:rsidP="001A7CEA">
            <w:r w:rsidRPr="00F47E8E">
              <w:t>713005 Nákup špeciálnych strojov, prístrojov, zariadení, techniky, náradia a materiálu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 w:rsidRPr="00F47E8E">
              <w:t>713006 Nákup komunikačnej infraštruktúry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76 000,00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3A20D3" w:rsidRDefault="00680FE9" w:rsidP="001A7CEA">
            <w:r w:rsidRPr="003A20D3">
              <w:t xml:space="preserve">716 Prípravná a </w:t>
            </w:r>
            <w:r w:rsidRPr="003A20D3">
              <w:lastRenderedPageBreak/>
              <w:t>projektová dokumentácia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lastRenderedPageBreak/>
              <w:t>34 780,00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3A20D3" w:rsidRDefault="00680FE9" w:rsidP="001A7CEA">
            <w:r w:rsidRPr="003A20D3">
              <w:lastRenderedPageBreak/>
              <w:t>717001 Realizácia nových stavieb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Default="00680FE9" w:rsidP="001A7CE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 w:rsidRPr="003A20D3">
              <w:t>717002 Rekonštrukcia a modernizácia stavieb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628 954,53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542E66" w:rsidRDefault="00680FE9" w:rsidP="001A7CEA">
            <w:r w:rsidRPr="00542E66">
              <w:t>717003 Prístavby, nadstavby, stavebné úpravy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125 370,69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Default="00680FE9" w:rsidP="001A7CEA">
            <w:r w:rsidRPr="00542E66">
              <w:t>718004 Modernizácia Prevádzkových strojov, prístrojov, zariadení, techniky a náradia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F58C6">
              <w:rPr>
                <w:rFonts w:ascii="Arial" w:hAnsi="Arial" w:cs="Arial"/>
                <w:sz w:val="16"/>
                <w:szCs w:val="16"/>
              </w:rPr>
              <w:t>8 812,67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680FE9" w:rsidP="001A7CEA">
            <w:pPr>
              <w:jc w:val="right"/>
              <w:rPr>
                <w:rFonts w:ascii="Calibri" w:hAnsi="Calibri"/>
              </w:rPr>
            </w:pP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A7CEA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  <w:bCs/>
              </w:rPr>
              <w:t>Spolu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Calibri" w:hAnsi="Calibri"/>
                <w:b/>
                <w:bCs/>
              </w:rPr>
            </w:pPr>
            <w:r w:rsidRPr="004F58C6">
              <w:rPr>
                <w:rFonts w:ascii="Calibri" w:hAnsi="Calibri"/>
                <w:b/>
                <w:bCs/>
              </w:rPr>
              <w:t>4 486 424,53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Calibri" w:hAnsi="Calibri"/>
                <w:b/>
                <w:bCs/>
              </w:rPr>
            </w:pPr>
            <w:r w:rsidRPr="004F58C6">
              <w:rPr>
                <w:rFonts w:ascii="Calibri" w:hAnsi="Calibri"/>
                <w:b/>
                <w:bCs/>
              </w:rPr>
              <w:t>752 461,47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Calibri" w:hAnsi="Calibri"/>
                <w:b/>
                <w:bCs/>
              </w:rPr>
            </w:pPr>
            <w:r w:rsidRPr="004F58C6">
              <w:rPr>
                <w:rFonts w:ascii="Calibri" w:hAnsi="Calibri"/>
                <w:b/>
                <w:bCs/>
              </w:rPr>
              <w:t>671 777,26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4F58C6" w:rsidRDefault="001A7CEA" w:rsidP="001A7CEA">
            <w:pPr>
              <w:jc w:val="right"/>
              <w:rPr>
                <w:rFonts w:ascii="Calibri" w:hAnsi="Calibri"/>
                <w:b/>
                <w:bCs/>
              </w:rPr>
            </w:pPr>
            <w:r w:rsidRPr="004F58C6">
              <w:rPr>
                <w:rFonts w:ascii="Calibri" w:hAnsi="Calibri"/>
                <w:b/>
                <w:bCs/>
              </w:rPr>
              <w:t>425 021,60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4F58C6" w:rsidRDefault="002C4C1A" w:rsidP="002C4C1A">
            <w:pPr>
              <w:jc w:val="right"/>
              <w:rPr>
                <w:rFonts w:ascii="Calibri" w:hAnsi="Calibri"/>
                <w:b/>
                <w:bCs/>
              </w:rPr>
            </w:pPr>
            <w:r w:rsidRPr="004F58C6">
              <w:rPr>
                <w:rFonts w:ascii="Calibri" w:hAnsi="Calibri"/>
                <w:b/>
                <w:bCs/>
              </w:rPr>
              <w:t>9,47</w:t>
            </w: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A7CEA">
            <w:pPr>
              <w:rPr>
                <w:rFonts w:cs="Arial"/>
                <w:b/>
                <w:bCs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680FE9" w:rsidRPr="00E3587A" w:rsidRDefault="00680FE9" w:rsidP="001A7CEA">
            <w:pPr>
              <w:rPr>
                <w:rFonts w:cs="Arial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680FE9" w:rsidRPr="00E3587A" w:rsidRDefault="00680FE9" w:rsidP="001A7CEA">
            <w:pPr>
              <w:rPr>
                <w:rFonts w:cs="Arial"/>
              </w:rPr>
            </w:pPr>
          </w:p>
        </w:tc>
        <w:tc>
          <w:tcPr>
            <w:tcW w:w="804" w:type="pct"/>
            <w:shd w:val="clear" w:color="auto" w:fill="auto"/>
            <w:vAlign w:val="center"/>
          </w:tcPr>
          <w:p w:rsidR="00680FE9" w:rsidRPr="00E3587A" w:rsidRDefault="00680FE9" w:rsidP="001A7CEA">
            <w:pPr>
              <w:rPr>
                <w:rFonts w:cs="Arial"/>
              </w:rPr>
            </w:pPr>
          </w:p>
        </w:tc>
        <w:tc>
          <w:tcPr>
            <w:tcW w:w="669" w:type="pct"/>
            <w:shd w:val="clear" w:color="auto" w:fill="auto"/>
            <w:vAlign w:val="center"/>
          </w:tcPr>
          <w:p w:rsidR="00680FE9" w:rsidRPr="00E3587A" w:rsidRDefault="00680FE9" w:rsidP="001A7CEA">
            <w:pPr>
              <w:rPr>
                <w:rFonts w:cs="Arial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680FE9" w:rsidRPr="00E3587A" w:rsidRDefault="00680FE9" w:rsidP="001A7CEA">
            <w:pPr>
              <w:jc w:val="right"/>
              <w:rPr>
                <w:rFonts w:cs="Arial"/>
              </w:rPr>
            </w:pPr>
          </w:p>
        </w:tc>
      </w:tr>
      <w:tr w:rsidR="00680FE9" w:rsidRPr="00E156FE" w:rsidTr="001A7CEA">
        <w:tc>
          <w:tcPr>
            <w:tcW w:w="5000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A7CEA">
            <w:pPr>
              <w:rPr>
                <w:rFonts w:cs="Arial"/>
                <w:b/>
              </w:rPr>
            </w:pPr>
            <w:r w:rsidRPr="00E3587A">
              <w:rPr>
                <w:rFonts w:cs="Arial"/>
                <w:b/>
              </w:rPr>
              <w:t>Zdôvodnenie nesúladu skutočného a plánovaného stavu finančnej realizácie projektu</w:t>
            </w:r>
            <w:r>
              <w:rPr>
                <w:rStyle w:val="Odkaznapoznmkupodiarou"/>
                <w:rFonts w:cs="Arial"/>
                <w:b/>
              </w:rPr>
              <w:t>5</w:t>
            </w:r>
          </w:p>
        </w:tc>
      </w:tr>
      <w:tr w:rsidR="00680FE9" w:rsidRPr="00E156FE" w:rsidTr="001A7CEA">
        <w:tc>
          <w:tcPr>
            <w:tcW w:w="1052" w:type="pct"/>
            <w:tcBorders>
              <w:top w:val="single" w:sz="6" w:space="0" w:color="auto"/>
              <w:bottom w:val="single" w:sz="12" w:space="0" w:color="auto"/>
            </w:tcBorders>
            <w:shd w:val="clear" w:color="auto" w:fill="9BD4F9" w:themeFill="background2" w:themeFillShade="E6"/>
            <w:vAlign w:val="center"/>
          </w:tcPr>
          <w:p w:rsidR="00680FE9" w:rsidRPr="00E3587A" w:rsidRDefault="00680FE9" w:rsidP="001A7CEA">
            <w:pPr>
              <w:rPr>
                <w:rFonts w:cs="Arial"/>
                <w:b/>
                <w:bCs/>
              </w:rPr>
            </w:pP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680FE9" w:rsidRPr="00E3587A" w:rsidRDefault="00680FE9" w:rsidP="001A7CEA">
            <w:pPr>
              <w:rPr>
                <w:rFonts w:cs="Arial"/>
                <w:b/>
              </w:rPr>
            </w:pPr>
          </w:p>
        </w:tc>
      </w:tr>
    </w:tbl>
    <w:p w:rsidR="00EF13F2" w:rsidRDefault="00EF13F2" w:rsidP="005F0BD5"/>
    <w:p w:rsidR="00E3587A" w:rsidRDefault="00E3587A" w:rsidP="005F0BD5"/>
    <w:p w:rsidR="003142EF" w:rsidRPr="008D01A9" w:rsidRDefault="003142EF" w:rsidP="008D01A9">
      <w:r>
        <w:t>________________________</w:t>
      </w:r>
    </w:p>
    <w:p w:rsidR="003142EF" w:rsidRPr="00E8780A" w:rsidRDefault="001C42BD" w:rsidP="003142EF">
      <w:pPr>
        <w:pStyle w:val="Textpoznmkypodiarou"/>
        <w:rPr>
          <w:rFonts w:ascii="Arial Narrow" w:hAnsi="Arial Narrow"/>
          <w:sz w:val="18"/>
          <w:szCs w:val="18"/>
        </w:rPr>
      </w:pPr>
      <w:r>
        <w:rPr>
          <w:rStyle w:val="Odkaznapoznmkupodiarou"/>
          <w:rFonts w:ascii="Arial Narrow" w:hAnsi="Arial Narrow"/>
          <w:sz w:val="18"/>
          <w:szCs w:val="18"/>
        </w:rPr>
        <w:t xml:space="preserve">3 </w:t>
      </w:r>
      <w:r>
        <w:rPr>
          <w:rFonts w:ascii="Arial Narrow" w:hAnsi="Arial Narrow"/>
          <w:sz w:val="18"/>
          <w:szCs w:val="18"/>
        </w:rPr>
        <w:t xml:space="preserve"> </w:t>
      </w:r>
      <w:r w:rsidR="005028DD">
        <w:rPr>
          <w:rFonts w:ascii="Arial Narrow" w:hAnsi="Arial Narrow"/>
          <w:sz w:val="18"/>
          <w:szCs w:val="18"/>
        </w:rPr>
        <w:t>Uvádzať  sumu</w:t>
      </w:r>
      <w:r w:rsidR="003142EF" w:rsidRPr="003425D3">
        <w:rPr>
          <w:rFonts w:ascii="Arial Narrow" w:hAnsi="Arial Narrow"/>
          <w:sz w:val="18"/>
          <w:szCs w:val="18"/>
        </w:rPr>
        <w:t xml:space="preserve"> výdavkov uhradených </w:t>
      </w:r>
      <w:r w:rsidR="003142EF">
        <w:rPr>
          <w:rFonts w:ascii="Arial Narrow" w:hAnsi="Arial Narrow"/>
          <w:sz w:val="18"/>
          <w:szCs w:val="18"/>
        </w:rPr>
        <w:t xml:space="preserve"> zo strany </w:t>
      </w:r>
      <w:r w:rsidR="003142EF" w:rsidRPr="003425D3">
        <w:rPr>
          <w:rFonts w:ascii="Arial Narrow" w:hAnsi="Arial Narrow"/>
          <w:sz w:val="18"/>
          <w:szCs w:val="18"/>
        </w:rPr>
        <w:t>prijímateľ</w:t>
      </w:r>
      <w:r w:rsidR="003142EF">
        <w:rPr>
          <w:rFonts w:ascii="Arial Narrow" w:hAnsi="Arial Narrow"/>
          <w:sz w:val="18"/>
          <w:szCs w:val="18"/>
        </w:rPr>
        <w:t>a dodávateľom</w:t>
      </w:r>
      <w:r w:rsidR="003142EF" w:rsidRPr="003425D3">
        <w:rPr>
          <w:rFonts w:ascii="Arial Narrow" w:hAnsi="Arial Narrow"/>
          <w:sz w:val="18"/>
          <w:szCs w:val="18"/>
        </w:rPr>
        <w:t xml:space="preserve"> za sledované obdobie.</w:t>
      </w:r>
    </w:p>
    <w:p w:rsidR="003142EF" w:rsidRDefault="00E22E36" w:rsidP="003142EF">
      <w:pPr>
        <w:pStyle w:val="Textpoznmkypodiarou"/>
        <w:rPr>
          <w:rFonts w:ascii="Arial Narrow" w:hAnsi="Arial Narrow"/>
          <w:sz w:val="18"/>
          <w:szCs w:val="18"/>
        </w:rPr>
      </w:pPr>
      <w:r w:rsidRPr="00E22E36">
        <w:rPr>
          <w:rStyle w:val="Odkaznapoznmkupodiarou"/>
          <w:rFonts w:ascii="Arial Narrow" w:hAnsi="Arial Narrow"/>
          <w:sz w:val="18"/>
          <w:szCs w:val="18"/>
        </w:rPr>
        <w:t>4</w:t>
      </w:r>
      <w:r w:rsidR="003142EF">
        <w:t xml:space="preserve"> </w:t>
      </w:r>
      <w:r w:rsidR="003142EF">
        <w:rPr>
          <w:rFonts w:ascii="Arial Narrow" w:hAnsi="Arial Narrow"/>
          <w:sz w:val="18"/>
          <w:szCs w:val="18"/>
        </w:rPr>
        <w:t>U</w:t>
      </w:r>
      <w:r w:rsidR="002F7E3A">
        <w:rPr>
          <w:rFonts w:ascii="Arial Narrow" w:hAnsi="Arial Narrow"/>
          <w:sz w:val="18"/>
          <w:szCs w:val="18"/>
        </w:rPr>
        <w:t xml:space="preserve">vádzať </w:t>
      </w:r>
      <w:r w:rsidR="003142EF" w:rsidRPr="00DA76AB">
        <w:rPr>
          <w:rFonts w:ascii="Arial Narrow" w:hAnsi="Arial Narrow"/>
          <w:sz w:val="18"/>
          <w:szCs w:val="18"/>
        </w:rPr>
        <w:t xml:space="preserve"> sumu oprávnených výdavkov v </w:t>
      </w:r>
      <w:proofErr w:type="spellStart"/>
      <w:r w:rsidR="003142EF" w:rsidRPr="00DA76AB">
        <w:rPr>
          <w:rFonts w:ascii="Arial Narrow" w:hAnsi="Arial Narrow"/>
          <w:sz w:val="18"/>
          <w:szCs w:val="18"/>
        </w:rPr>
        <w:t>ŽoP</w:t>
      </w:r>
      <w:proofErr w:type="spellEnd"/>
      <w:r w:rsidR="003142EF" w:rsidRPr="00DA76AB">
        <w:rPr>
          <w:rFonts w:ascii="Arial Narrow" w:hAnsi="Arial Narrow"/>
          <w:sz w:val="18"/>
          <w:szCs w:val="18"/>
        </w:rPr>
        <w:t xml:space="preserve"> </w:t>
      </w:r>
      <w:r w:rsidR="002F7E3A">
        <w:rPr>
          <w:rFonts w:ascii="Arial Narrow" w:hAnsi="Arial Narrow"/>
          <w:sz w:val="18"/>
          <w:szCs w:val="18"/>
        </w:rPr>
        <w:t xml:space="preserve">        </w:t>
      </w:r>
    </w:p>
    <w:p w:rsidR="002F7E3A" w:rsidRDefault="002F7E3A" w:rsidP="003142EF">
      <w:pPr>
        <w:pStyle w:val="Textpoznmkypodiarou"/>
      </w:pPr>
      <w:r>
        <w:rPr>
          <w:rFonts w:ascii="Arial Narrow" w:hAnsi="Arial Narrow"/>
          <w:sz w:val="18"/>
          <w:szCs w:val="18"/>
          <w:vertAlign w:val="superscript"/>
        </w:rPr>
        <w:t xml:space="preserve">5 </w:t>
      </w:r>
      <w:r>
        <w:rPr>
          <w:rFonts w:ascii="Arial Narrow" w:hAnsi="Arial Narrow"/>
          <w:sz w:val="18"/>
          <w:szCs w:val="18"/>
        </w:rPr>
        <w:t xml:space="preserve"> </w:t>
      </w:r>
      <w:r w:rsidRPr="003425D3">
        <w:rPr>
          <w:rFonts w:ascii="Arial Narrow" w:hAnsi="Arial Narrow"/>
          <w:sz w:val="18"/>
          <w:szCs w:val="18"/>
        </w:rPr>
        <w:t>Uvádza</w:t>
      </w:r>
      <w:r>
        <w:rPr>
          <w:rFonts w:ascii="Arial Narrow" w:hAnsi="Arial Narrow"/>
          <w:sz w:val="18"/>
          <w:szCs w:val="18"/>
        </w:rPr>
        <w:t xml:space="preserve">ť </w:t>
      </w:r>
      <w:r w:rsidRPr="003425D3">
        <w:rPr>
          <w:rFonts w:ascii="Arial Narrow" w:hAnsi="Arial Narrow"/>
          <w:sz w:val="18"/>
          <w:szCs w:val="18"/>
        </w:rPr>
        <w:t xml:space="preserve"> iba v prípade nesúladu skutočného a plánovaného stavu finančnej realizácie aktivít projektu</w:t>
      </w:r>
      <w:r w:rsidRPr="00E60F5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podľa </w:t>
      </w:r>
      <w:r w:rsidRPr="00DA76AB">
        <w:rPr>
          <w:rFonts w:ascii="Arial Narrow" w:hAnsi="Arial Narrow"/>
          <w:sz w:val="18"/>
          <w:szCs w:val="18"/>
        </w:rPr>
        <w:t xml:space="preserve">plánu predkladania  </w:t>
      </w:r>
      <w:proofErr w:type="spellStart"/>
      <w:r w:rsidRPr="00DA76AB">
        <w:rPr>
          <w:rFonts w:ascii="Arial Narrow" w:hAnsi="Arial Narrow"/>
          <w:sz w:val="18"/>
          <w:szCs w:val="18"/>
        </w:rPr>
        <w:t>ŽoP</w:t>
      </w:r>
      <w:proofErr w:type="spellEnd"/>
      <w:r>
        <w:rPr>
          <w:rFonts w:ascii="Arial Narrow" w:hAnsi="Arial Narrow"/>
          <w:sz w:val="18"/>
          <w:szCs w:val="18"/>
        </w:rPr>
        <w:t xml:space="preserve"> </w:t>
      </w:r>
      <w:r w:rsidRPr="00424516">
        <w:rPr>
          <w:rFonts w:ascii="Arial Narrow" w:hAnsi="Arial Narrow" w:cs="Arial"/>
          <w:bCs/>
          <w:sz w:val="18"/>
          <w:szCs w:val="18"/>
        </w:rPr>
        <w:t xml:space="preserve"> </w:t>
      </w:r>
      <w:r w:rsidRPr="003425D3">
        <w:rPr>
          <w:rFonts w:ascii="Arial Narrow" w:hAnsi="Arial Narrow" w:cs="Arial"/>
          <w:bCs/>
          <w:sz w:val="18"/>
          <w:szCs w:val="18"/>
        </w:rPr>
        <w:t>vrátane špecifikácie nápravných opatrení.</w:t>
      </w:r>
    </w:p>
    <w:p w:rsidR="00147445" w:rsidRDefault="00147445" w:rsidP="005F0BD5"/>
    <w:p w:rsidR="004F58C6" w:rsidRDefault="004F58C6">
      <w:pPr>
        <w:spacing w:after="200" w:line="276" w:lineRule="auto"/>
      </w:pPr>
      <w:r>
        <w:br w:type="page"/>
      </w:r>
    </w:p>
    <w:p w:rsidR="00D70695" w:rsidRDefault="00147445" w:rsidP="005F0BD5">
      <w:bookmarkStart w:id="0" w:name="_GoBack"/>
      <w:bookmarkEnd w:id="0"/>
      <w:r>
        <w:lastRenderedPageBreak/>
        <w:t>4</w:t>
      </w:r>
      <w:r w:rsidR="00C706AA">
        <w:t xml:space="preserve">. Prílohy </w:t>
      </w:r>
    </w:p>
    <w:p w:rsidR="00D70695" w:rsidRDefault="00D70695" w:rsidP="005F0BD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Pr="00C706AA" w:rsidRDefault="00C706AA" w:rsidP="005F0BD5">
            <w:pPr>
              <w:rPr>
                <w:b/>
              </w:rPr>
            </w:pPr>
            <w:proofErr w:type="spellStart"/>
            <w:r w:rsidRPr="00C706AA">
              <w:rPr>
                <w:b/>
              </w:rPr>
              <w:t>P.č</w:t>
            </w:r>
            <w:proofErr w:type="spellEnd"/>
            <w:r w:rsidRPr="00C706AA">
              <w:rPr>
                <w:b/>
              </w:rPr>
              <w:t xml:space="preserve">. </w:t>
            </w:r>
          </w:p>
        </w:tc>
        <w:tc>
          <w:tcPr>
            <w:tcW w:w="8395" w:type="dxa"/>
            <w:shd w:val="clear" w:color="auto" w:fill="9BD4F9" w:themeFill="background2" w:themeFillShade="E6"/>
          </w:tcPr>
          <w:p w:rsidR="00C706AA" w:rsidRPr="00C706AA" w:rsidRDefault="00C706AA" w:rsidP="005F0BD5">
            <w:pPr>
              <w:rPr>
                <w:b/>
              </w:rPr>
            </w:pPr>
            <w:r w:rsidRPr="00C706AA">
              <w:rPr>
                <w:b/>
              </w:rPr>
              <w:t xml:space="preserve">Názov prílohy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>
            <w:r>
              <w:t>1.</w:t>
            </w:r>
          </w:p>
        </w:tc>
        <w:tc>
          <w:tcPr>
            <w:tcW w:w="8395" w:type="dxa"/>
          </w:tcPr>
          <w:p w:rsidR="00C706AA" w:rsidRDefault="00C706AA" w:rsidP="00D62A6B">
            <w:r>
              <w:t xml:space="preserve">Plán predkladania </w:t>
            </w:r>
            <w:proofErr w:type="spellStart"/>
            <w:r>
              <w:t>ŽoP</w:t>
            </w:r>
            <w:proofErr w:type="spellEnd"/>
            <w:r>
              <w:t xml:space="preserve"> </w:t>
            </w:r>
            <w:r w:rsidR="00D62A6B">
              <w:t>na nasledujúci</w:t>
            </w:r>
            <w:r>
              <w:t xml:space="preserve"> mesiac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D2047B" w:rsidP="005F0BD5">
            <w:r>
              <w:t xml:space="preserve">2. </w:t>
            </w:r>
          </w:p>
        </w:tc>
        <w:tc>
          <w:tcPr>
            <w:tcW w:w="8395" w:type="dxa"/>
          </w:tcPr>
          <w:p w:rsidR="00C706AA" w:rsidRDefault="0039448D" w:rsidP="00D2047B">
            <w:r>
              <w:t xml:space="preserve">Fotodokumentácia </w:t>
            </w:r>
          </w:p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D2047B" w:rsidP="005F0BD5">
            <w:r>
              <w:t xml:space="preserve">3. </w:t>
            </w:r>
          </w:p>
        </w:tc>
        <w:tc>
          <w:tcPr>
            <w:tcW w:w="8395" w:type="dxa"/>
          </w:tcPr>
          <w:p w:rsidR="00C706AA" w:rsidRDefault="00C706AA" w:rsidP="005F0BD5"/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  <w:tr w:rsidR="00C706AA" w:rsidTr="00C7538A">
        <w:tc>
          <w:tcPr>
            <w:tcW w:w="817" w:type="dxa"/>
            <w:shd w:val="clear" w:color="auto" w:fill="9BD4F9" w:themeFill="background2" w:themeFillShade="E6"/>
          </w:tcPr>
          <w:p w:rsidR="00C706AA" w:rsidRDefault="00C706AA" w:rsidP="005F0BD5"/>
        </w:tc>
        <w:tc>
          <w:tcPr>
            <w:tcW w:w="8395" w:type="dxa"/>
          </w:tcPr>
          <w:p w:rsidR="00C706AA" w:rsidRDefault="00C706AA" w:rsidP="005F0BD5"/>
        </w:tc>
      </w:tr>
    </w:tbl>
    <w:p w:rsidR="00C65A6F" w:rsidRPr="00C65A6F" w:rsidRDefault="00C65A6F" w:rsidP="00C65A6F">
      <w:pPr>
        <w:pStyle w:val="Zkladntext2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68"/>
        <w:gridCol w:w="4000"/>
      </w:tblGrid>
      <w:tr w:rsidR="00C65A6F" w:rsidRPr="00C65A6F" w:rsidTr="001A7CEA">
        <w:trPr>
          <w:jc w:val="center"/>
        </w:trPr>
        <w:tc>
          <w:tcPr>
            <w:tcW w:w="8568" w:type="dxa"/>
            <w:gridSpan w:val="2"/>
          </w:tcPr>
          <w:p w:rsidR="00C65A6F" w:rsidRPr="002877FE" w:rsidRDefault="00C65A6F" w:rsidP="001A7CEA">
            <w:pPr>
              <w:spacing w:before="20" w:after="20"/>
              <w:jc w:val="both"/>
              <w:rPr>
                <w:rFonts w:cs="Arial"/>
                <w:b/>
                <w:bCs/>
                <w:u w:val="single"/>
              </w:rPr>
            </w:pPr>
            <w:r w:rsidRPr="002877FE">
              <w:rPr>
                <w:rFonts w:cs="Arial"/>
                <w:b/>
                <w:bCs/>
                <w:u w:val="single"/>
              </w:rPr>
              <w:t>Vypracoval:</w:t>
            </w:r>
          </w:p>
        </w:tc>
      </w:tr>
      <w:tr w:rsidR="00C65A6F" w:rsidRPr="00C65A6F" w:rsidTr="001A7CEA">
        <w:trPr>
          <w:jc w:val="center"/>
        </w:trPr>
        <w:tc>
          <w:tcPr>
            <w:tcW w:w="4568" w:type="dxa"/>
          </w:tcPr>
          <w:p w:rsidR="00C65A6F" w:rsidRDefault="00C65A6F" w:rsidP="00C65A6F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Pozícia zodpovedného pracovníka:</w:t>
            </w:r>
          </w:p>
          <w:p w:rsidR="00C65A6F" w:rsidRPr="00C65A6F" w:rsidRDefault="00C65A6F" w:rsidP="00C65A6F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Dátum vyhotoven</w:t>
            </w:r>
            <w:r>
              <w:rPr>
                <w:rFonts w:cs="Arial"/>
              </w:rPr>
              <w:t>ia: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1A7CEA">
            <w:pPr>
              <w:spacing w:before="20" w:after="20"/>
              <w:ind w:right="-820"/>
              <w:rPr>
                <w:rFonts w:cs="Arial"/>
              </w:rPr>
            </w:pPr>
          </w:p>
        </w:tc>
      </w:tr>
      <w:tr w:rsidR="00C65A6F" w:rsidRPr="00C65A6F" w:rsidTr="001A7CEA">
        <w:trPr>
          <w:jc w:val="center"/>
        </w:trPr>
        <w:tc>
          <w:tcPr>
            <w:tcW w:w="4568" w:type="dxa"/>
            <w:vAlign w:val="bottom"/>
          </w:tcPr>
          <w:p w:rsidR="00C65A6F" w:rsidRPr="00C65A6F" w:rsidRDefault="00C65A6F" w:rsidP="001A7CEA">
            <w:pPr>
              <w:spacing w:before="240" w:after="240"/>
              <w:rPr>
                <w:rFonts w:cs="Arial"/>
              </w:rPr>
            </w:pPr>
            <w:r w:rsidRPr="00C65A6F">
              <w:rPr>
                <w:rFonts w:cs="Arial"/>
              </w:rPr>
              <w:t>Podpis: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1A7CEA">
            <w:pPr>
              <w:spacing w:before="20" w:after="20"/>
              <w:ind w:right="-820"/>
              <w:rPr>
                <w:rFonts w:cs="Arial"/>
              </w:rPr>
            </w:pPr>
          </w:p>
        </w:tc>
      </w:tr>
      <w:tr w:rsidR="00C65A6F" w:rsidRPr="00C65A6F" w:rsidTr="001A7CEA">
        <w:trPr>
          <w:jc w:val="center"/>
        </w:trPr>
        <w:tc>
          <w:tcPr>
            <w:tcW w:w="4568" w:type="dxa"/>
          </w:tcPr>
          <w:p w:rsidR="00C65A6F" w:rsidRPr="002877FE" w:rsidRDefault="00C65A6F" w:rsidP="00C65A6F">
            <w:pPr>
              <w:spacing w:before="20" w:after="20"/>
              <w:jc w:val="both"/>
              <w:rPr>
                <w:rFonts w:cs="Arial"/>
                <w:u w:val="single"/>
              </w:rPr>
            </w:pPr>
            <w:r w:rsidRPr="002877FE">
              <w:rPr>
                <w:rFonts w:cs="Arial"/>
                <w:b/>
                <w:bCs/>
                <w:u w:val="single"/>
              </w:rPr>
              <w:t>Schválil: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1A7CEA">
            <w:pPr>
              <w:spacing w:before="20" w:after="20"/>
              <w:ind w:right="-820"/>
              <w:rPr>
                <w:rFonts w:cs="Arial"/>
              </w:rPr>
            </w:pPr>
          </w:p>
        </w:tc>
      </w:tr>
      <w:tr w:rsidR="00C65A6F" w:rsidRPr="00C65A6F" w:rsidTr="001A7CEA">
        <w:trPr>
          <w:jc w:val="center"/>
        </w:trPr>
        <w:tc>
          <w:tcPr>
            <w:tcW w:w="4568" w:type="dxa"/>
          </w:tcPr>
          <w:p w:rsidR="00C65A6F" w:rsidRPr="00C65A6F" w:rsidRDefault="00C65A6F" w:rsidP="001A7CEA">
            <w:pPr>
              <w:spacing w:before="60" w:after="60"/>
              <w:rPr>
                <w:rFonts w:cs="Arial"/>
              </w:rPr>
            </w:pPr>
            <w:r w:rsidRPr="00C65A6F">
              <w:rPr>
                <w:rFonts w:cs="Arial"/>
              </w:rPr>
              <w:t>Pozícia zodpovedného pracovníka: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1A7CEA">
            <w:pPr>
              <w:spacing w:before="60" w:after="60"/>
              <w:ind w:right="-820"/>
              <w:rPr>
                <w:rFonts w:cs="Arial"/>
              </w:rPr>
            </w:pPr>
          </w:p>
        </w:tc>
      </w:tr>
      <w:tr w:rsidR="00C65A6F" w:rsidRPr="00C65A6F" w:rsidTr="001A7CEA">
        <w:trPr>
          <w:jc w:val="center"/>
        </w:trPr>
        <w:tc>
          <w:tcPr>
            <w:tcW w:w="4568" w:type="dxa"/>
          </w:tcPr>
          <w:p w:rsidR="00C65A6F" w:rsidRPr="00C65A6F" w:rsidRDefault="00C65A6F" w:rsidP="00C65A6F">
            <w:pPr>
              <w:spacing w:before="120" w:after="12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Dátum schválenia: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1A7CEA">
            <w:pPr>
              <w:spacing w:before="120" w:after="120"/>
              <w:ind w:right="-820"/>
              <w:rPr>
                <w:rFonts w:cs="Arial"/>
              </w:rPr>
            </w:pPr>
          </w:p>
        </w:tc>
      </w:tr>
      <w:tr w:rsidR="00C65A6F" w:rsidRPr="00C65A6F" w:rsidTr="001A7CEA">
        <w:trPr>
          <w:jc w:val="center"/>
        </w:trPr>
        <w:tc>
          <w:tcPr>
            <w:tcW w:w="4568" w:type="dxa"/>
          </w:tcPr>
          <w:p w:rsidR="00C65A6F" w:rsidRPr="00C65A6F" w:rsidRDefault="00C65A6F" w:rsidP="001A7CEA">
            <w:pPr>
              <w:spacing w:before="240" w:after="240"/>
              <w:jc w:val="both"/>
              <w:rPr>
                <w:rFonts w:cs="Arial"/>
              </w:rPr>
            </w:pPr>
            <w:r w:rsidRPr="00C65A6F">
              <w:rPr>
                <w:rFonts w:cs="Arial"/>
              </w:rPr>
              <w:t>Podpis:</w:t>
            </w:r>
          </w:p>
        </w:tc>
        <w:tc>
          <w:tcPr>
            <w:tcW w:w="4000" w:type="dxa"/>
            <w:tcMar>
              <w:right w:w="851" w:type="dxa"/>
            </w:tcMar>
          </w:tcPr>
          <w:p w:rsidR="00C65A6F" w:rsidRPr="00C65A6F" w:rsidRDefault="00C65A6F" w:rsidP="001A7CEA">
            <w:pPr>
              <w:spacing w:before="240" w:after="240"/>
              <w:ind w:right="-820"/>
              <w:rPr>
                <w:rFonts w:cs="Arial"/>
              </w:rPr>
            </w:pPr>
          </w:p>
        </w:tc>
      </w:tr>
    </w:tbl>
    <w:p w:rsidR="008A54FD" w:rsidRDefault="008A54FD" w:rsidP="005F0BD5"/>
    <w:sectPr w:rsidR="008A54FD" w:rsidSect="0065201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CB" w:rsidRDefault="00F952CB" w:rsidP="009A7112">
      <w:r>
        <w:separator/>
      </w:r>
    </w:p>
  </w:endnote>
  <w:endnote w:type="continuationSeparator" w:id="0">
    <w:p w:rsidR="00F952CB" w:rsidRDefault="00F952CB" w:rsidP="009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310748"/>
      <w:docPartObj>
        <w:docPartGallery w:val="Page Numbers (Bottom of Page)"/>
        <w:docPartUnique/>
      </w:docPartObj>
    </w:sdtPr>
    <w:sdtContent>
      <w:p w:rsidR="00F952CB" w:rsidRDefault="00F952C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0EE">
          <w:rPr>
            <w:noProof/>
          </w:rPr>
          <w:t>15</w:t>
        </w:r>
        <w:r>
          <w:fldChar w:fldCharType="end"/>
        </w:r>
      </w:p>
    </w:sdtContent>
  </w:sdt>
  <w:p w:rsidR="00F952CB" w:rsidRDefault="00F952C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CB" w:rsidRDefault="00F952CB" w:rsidP="009A7112">
      <w:r>
        <w:separator/>
      </w:r>
    </w:p>
  </w:footnote>
  <w:footnote w:type="continuationSeparator" w:id="0">
    <w:p w:rsidR="00F952CB" w:rsidRDefault="00F952CB" w:rsidP="009A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2CB" w:rsidRDefault="00F952CB">
    <w:pPr>
      <w:pStyle w:val="Hlavika"/>
    </w:pPr>
    <w:r>
      <w:t>Kód ITMS: 26220220182</w:t>
    </w:r>
  </w:p>
  <w:p w:rsidR="00F952CB" w:rsidRDefault="00F952CB">
    <w:pPr>
      <w:pStyle w:val="Hlavika"/>
    </w:pPr>
  </w:p>
  <w:p w:rsidR="00F952CB" w:rsidRDefault="00F952CB">
    <w:pPr>
      <w:pStyle w:val="Hlavika"/>
    </w:pPr>
  </w:p>
  <w:p w:rsidR="00F952CB" w:rsidRDefault="00F952C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457"/>
    <w:multiLevelType w:val="hybridMultilevel"/>
    <w:tmpl w:val="E9A272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FF240C"/>
    <w:multiLevelType w:val="hybridMultilevel"/>
    <w:tmpl w:val="D2C45C8C"/>
    <w:lvl w:ilvl="0" w:tplc="86224EF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32907"/>
    <w:multiLevelType w:val="hybridMultilevel"/>
    <w:tmpl w:val="361C2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12"/>
    <w:rsid w:val="00046029"/>
    <w:rsid w:val="00080582"/>
    <w:rsid w:val="000A79B4"/>
    <w:rsid w:val="000C128E"/>
    <w:rsid w:val="000E4E87"/>
    <w:rsid w:val="000E7542"/>
    <w:rsid w:val="001272BD"/>
    <w:rsid w:val="00147445"/>
    <w:rsid w:val="00176EF5"/>
    <w:rsid w:val="0018056B"/>
    <w:rsid w:val="001846EB"/>
    <w:rsid w:val="001A3961"/>
    <w:rsid w:val="001A7CEA"/>
    <w:rsid w:val="001C42BD"/>
    <w:rsid w:val="001F3D9B"/>
    <w:rsid w:val="00204800"/>
    <w:rsid w:val="00206D7D"/>
    <w:rsid w:val="0023192C"/>
    <w:rsid w:val="00243618"/>
    <w:rsid w:val="002877FE"/>
    <w:rsid w:val="002A7B27"/>
    <w:rsid w:val="002C4C1A"/>
    <w:rsid w:val="002F7E3A"/>
    <w:rsid w:val="003142EF"/>
    <w:rsid w:val="003272E8"/>
    <w:rsid w:val="00331EFA"/>
    <w:rsid w:val="00334DFE"/>
    <w:rsid w:val="00344D16"/>
    <w:rsid w:val="003648BD"/>
    <w:rsid w:val="00364F57"/>
    <w:rsid w:val="00365918"/>
    <w:rsid w:val="00370C82"/>
    <w:rsid w:val="0039448D"/>
    <w:rsid w:val="003C582D"/>
    <w:rsid w:val="003D7C31"/>
    <w:rsid w:val="003F23A7"/>
    <w:rsid w:val="00430090"/>
    <w:rsid w:val="00442CAC"/>
    <w:rsid w:val="0045023A"/>
    <w:rsid w:val="00455E01"/>
    <w:rsid w:val="0046362B"/>
    <w:rsid w:val="004822D7"/>
    <w:rsid w:val="004942A9"/>
    <w:rsid w:val="004A7155"/>
    <w:rsid w:val="004B4C86"/>
    <w:rsid w:val="004E05F5"/>
    <w:rsid w:val="004E4BD7"/>
    <w:rsid w:val="004F58C6"/>
    <w:rsid w:val="005028DD"/>
    <w:rsid w:val="005206C8"/>
    <w:rsid w:val="00553B3A"/>
    <w:rsid w:val="00561E56"/>
    <w:rsid w:val="00566FB4"/>
    <w:rsid w:val="005923E9"/>
    <w:rsid w:val="005E4400"/>
    <w:rsid w:val="005F0BD5"/>
    <w:rsid w:val="005F1F41"/>
    <w:rsid w:val="00626D0D"/>
    <w:rsid w:val="00647E2E"/>
    <w:rsid w:val="0065201F"/>
    <w:rsid w:val="00662C34"/>
    <w:rsid w:val="00680FE9"/>
    <w:rsid w:val="006851CF"/>
    <w:rsid w:val="006D6EB3"/>
    <w:rsid w:val="006E4A8E"/>
    <w:rsid w:val="0071129C"/>
    <w:rsid w:val="00717D64"/>
    <w:rsid w:val="00735CA1"/>
    <w:rsid w:val="00737453"/>
    <w:rsid w:val="00740C30"/>
    <w:rsid w:val="00743E23"/>
    <w:rsid w:val="00755127"/>
    <w:rsid w:val="00763AA8"/>
    <w:rsid w:val="007760B0"/>
    <w:rsid w:val="007873BB"/>
    <w:rsid w:val="00797159"/>
    <w:rsid w:val="007C75FF"/>
    <w:rsid w:val="007F041C"/>
    <w:rsid w:val="0080026A"/>
    <w:rsid w:val="00841633"/>
    <w:rsid w:val="008557DA"/>
    <w:rsid w:val="00886725"/>
    <w:rsid w:val="008A54FD"/>
    <w:rsid w:val="008A5E2C"/>
    <w:rsid w:val="008C3999"/>
    <w:rsid w:val="008D01A9"/>
    <w:rsid w:val="00901147"/>
    <w:rsid w:val="00915F13"/>
    <w:rsid w:val="009233B3"/>
    <w:rsid w:val="009262DA"/>
    <w:rsid w:val="0093155B"/>
    <w:rsid w:val="00943260"/>
    <w:rsid w:val="009467B0"/>
    <w:rsid w:val="00977814"/>
    <w:rsid w:val="009A7112"/>
    <w:rsid w:val="009C3400"/>
    <w:rsid w:val="009E7CB6"/>
    <w:rsid w:val="009F40EE"/>
    <w:rsid w:val="00A00CFF"/>
    <w:rsid w:val="00A17FE4"/>
    <w:rsid w:val="00A363AC"/>
    <w:rsid w:val="00A54851"/>
    <w:rsid w:val="00A6336F"/>
    <w:rsid w:val="00AC67D9"/>
    <w:rsid w:val="00AE33CD"/>
    <w:rsid w:val="00AF37C0"/>
    <w:rsid w:val="00B00827"/>
    <w:rsid w:val="00B14E4B"/>
    <w:rsid w:val="00B53979"/>
    <w:rsid w:val="00B57918"/>
    <w:rsid w:val="00B76D43"/>
    <w:rsid w:val="00BD6D1D"/>
    <w:rsid w:val="00C322BA"/>
    <w:rsid w:val="00C65A6F"/>
    <w:rsid w:val="00C706AA"/>
    <w:rsid w:val="00C7538A"/>
    <w:rsid w:val="00CD1C72"/>
    <w:rsid w:val="00CF22ED"/>
    <w:rsid w:val="00D069D0"/>
    <w:rsid w:val="00D2047B"/>
    <w:rsid w:val="00D32193"/>
    <w:rsid w:val="00D62A6B"/>
    <w:rsid w:val="00D70695"/>
    <w:rsid w:val="00D70919"/>
    <w:rsid w:val="00D939DF"/>
    <w:rsid w:val="00DB1E9B"/>
    <w:rsid w:val="00DB66C1"/>
    <w:rsid w:val="00DD3B3F"/>
    <w:rsid w:val="00DE13BB"/>
    <w:rsid w:val="00DF7C69"/>
    <w:rsid w:val="00E12A9A"/>
    <w:rsid w:val="00E22E36"/>
    <w:rsid w:val="00E3137C"/>
    <w:rsid w:val="00E3587A"/>
    <w:rsid w:val="00E46773"/>
    <w:rsid w:val="00E54AEF"/>
    <w:rsid w:val="00EA150F"/>
    <w:rsid w:val="00EB1451"/>
    <w:rsid w:val="00ED4878"/>
    <w:rsid w:val="00EF13F2"/>
    <w:rsid w:val="00F052B3"/>
    <w:rsid w:val="00F10985"/>
    <w:rsid w:val="00F36E3F"/>
    <w:rsid w:val="00F42BEC"/>
    <w:rsid w:val="00F554C8"/>
    <w:rsid w:val="00F62CE5"/>
    <w:rsid w:val="00F952CB"/>
    <w:rsid w:val="00FA4E26"/>
    <w:rsid w:val="00FB7983"/>
    <w:rsid w:val="00FE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0BD5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206D7D"/>
    <w:rPr>
      <w:b/>
      <w:bCs/>
      <w:i w:val="0"/>
      <w:iCs w:val="0"/>
    </w:rPr>
  </w:style>
  <w:style w:type="paragraph" w:styleId="Bezriadkovania">
    <w:name w:val="No Spacing"/>
    <w:uiPriority w:val="1"/>
    <w:qFormat/>
    <w:rsid w:val="00206D7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112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semiHidden/>
    <w:rsid w:val="00C65A6F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C65A6F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6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65201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57918"/>
    <w:rPr>
      <w:color w:val="008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F22ED"/>
    <w:rPr>
      <w:color w:val="5EAE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F0BD5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basedOn w:val="Predvolenpsmoodseku"/>
    <w:uiPriority w:val="20"/>
    <w:qFormat/>
    <w:rsid w:val="00206D7D"/>
    <w:rPr>
      <w:b/>
      <w:bCs/>
      <w:i w:val="0"/>
      <w:iCs w:val="0"/>
    </w:rPr>
  </w:style>
  <w:style w:type="paragraph" w:styleId="Bezriadkovania">
    <w:name w:val="No Spacing"/>
    <w:uiPriority w:val="1"/>
    <w:qFormat/>
    <w:rsid w:val="00206D7D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A71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A7112"/>
    <w:rPr>
      <w:rFonts w:ascii="Times New Roman" w:hAnsi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7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112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5F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C65A6F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semiHidden/>
    <w:rsid w:val="00C65A6F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rsid w:val="00C65A6F"/>
    <w:pPr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65A6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ekzoznamu">
    <w:name w:val="List Paragraph"/>
    <w:basedOn w:val="Normlny"/>
    <w:uiPriority w:val="34"/>
    <w:qFormat/>
    <w:rsid w:val="0065201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57918"/>
    <w:rPr>
      <w:color w:val="008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F22ED"/>
    <w:rPr>
      <w:color w:val="5EAE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regional_policy/thefunds/regional/index_sk.cf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://scitation.aip.org/content/asa/journal/jasa/137/4/10.1121/1.49206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dico.hep.lu.se//conferenceDisplay.py?confId=157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nedu.sk/op-vyskum-a&#160;vyvoj-erdf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dico.hep.lu.se//conferenceDisplay.py?confId=1578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inedu.sk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Tvar vlnenia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D995-1AE5-479D-A58C-69E85F9A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16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Hegedüš Roman</dc:creator>
  <cp:lastModifiedBy>dekanat</cp:lastModifiedBy>
  <cp:revision>59</cp:revision>
  <cp:lastPrinted>2015-03-10T08:47:00Z</cp:lastPrinted>
  <dcterms:created xsi:type="dcterms:W3CDTF">2015-03-10T15:47:00Z</dcterms:created>
  <dcterms:modified xsi:type="dcterms:W3CDTF">2015-06-08T09:59:00Z</dcterms:modified>
</cp:coreProperties>
</file>