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D5" w:rsidRDefault="005F0BD5" w:rsidP="005F0BD5">
      <w:pPr>
        <w:spacing w:before="40" w:after="20"/>
        <w:jc w:val="center"/>
        <w:rPr>
          <w:rFonts w:eastAsiaTheme="minorEastAsia"/>
          <w:noProof/>
          <w:color w:val="1F497D"/>
          <w:lang w:eastAsia="sk-SK"/>
        </w:rPr>
      </w:pPr>
      <w:r>
        <w:rPr>
          <w:rFonts w:eastAsiaTheme="minorEastAsia"/>
          <w:noProof/>
          <w:lang w:eastAsia="sk-SK"/>
        </w:rPr>
        <w:drawing>
          <wp:inline distT="0" distB="0" distL="0" distR="0" wp14:anchorId="15FC9D46" wp14:editId="172A405A">
            <wp:extent cx="942975" cy="800100"/>
            <wp:effectExtent l="0" t="0" r="9525" b="0"/>
            <wp:docPr id="3" name="Obrázok 3" descr="cid:image001.png@01CFAA70.DC100450">
              <a:hlinkClick xmlns:a="http://schemas.openxmlformats.org/drawingml/2006/main" r:id="rId9" tooltip="MŠVVaŠ S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CFAA70.DC100450">
                      <a:hlinkClick r:id="rId9" tooltip="MŠVVaŠ SR"/>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800100"/>
                    </a:xfrm>
                    <a:prstGeom prst="rect">
                      <a:avLst/>
                    </a:prstGeom>
                    <a:noFill/>
                    <a:ln>
                      <a:noFill/>
                    </a:ln>
                  </pic:spPr>
                </pic:pic>
              </a:graphicData>
            </a:graphic>
          </wp:inline>
        </w:drawing>
      </w:r>
      <w:r>
        <w:rPr>
          <w:rFonts w:eastAsiaTheme="minorEastAsia"/>
          <w:noProof/>
          <w:color w:val="1F497D"/>
          <w:lang w:eastAsia="sk-SK"/>
        </w:rPr>
        <w:drawing>
          <wp:inline distT="0" distB="0" distL="0" distR="0" wp14:anchorId="6B553A1C" wp14:editId="3FA33A69">
            <wp:extent cx="809625" cy="809625"/>
            <wp:effectExtent l="0" t="0" r="9525" b="9525"/>
            <wp:docPr id="2" name="Obrázok 2">
              <a:hlinkClick xmlns:a="http://schemas.openxmlformats.org/drawingml/2006/main" r:id="rId11" tooltip="OP Výskum a vývoj"/>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a:hlinkClick r:id="rId11" tooltip="OP Výskum a vývoj"/>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rFonts w:eastAsiaTheme="minorEastAsia"/>
          <w:noProof/>
          <w:color w:val="1F497D"/>
          <w:lang w:eastAsia="sk-SK"/>
        </w:rPr>
        <w:drawing>
          <wp:inline distT="0" distB="0" distL="0" distR="0" wp14:anchorId="69DADF31" wp14:editId="0CB14AF9">
            <wp:extent cx="876300" cy="809625"/>
            <wp:effectExtent l="0" t="0" r="0" b="9525"/>
            <wp:docPr id="1" name="Obrázok 1">
              <a:hlinkClick xmlns:a="http://schemas.openxmlformats.org/drawingml/2006/main" r:id="rId13" tooltip="Európsky fond regionálneho rozvoj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a:hlinkClick r:id="rId13" tooltip="Európsky fond regionálneho rozvoja"/>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809625"/>
                    </a:xfrm>
                    <a:prstGeom prst="rect">
                      <a:avLst/>
                    </a:prstGeom>
                    <a:noFill/>
                    <a:ln>
                      <a:noFill/>
                    </a:ln>
                  </pic:spPr>
                </pic:pic>
              </a:graphicData>
            </a:graphic>
          </wp:inline>
        </w:drawing>
      </w:r>
    </w:p>
    <w:p w:rsidR="005F0BD5" w:rsidRDefault="005F0BD5" w:rsidP="005F0BD5">
      <w:pPr>
        <w:jc w:val="center"/>
        <w:rPr>
          <w:rFonts w:eastAsiaTheme="minorEastAsia"/>
          <w:b/>
          <w:bCs/>
          <w:i/>
          <w:iCs/>
          <w:noProof/>
          <w:color w:val="7F7F7F"/>
          <w:sz w:val="20"/>
          <w:szCs w:val="20"/>
          <w:lang w:eastAsia="sk-SK"/>
        </w:rPr>
      </w:pPr>
    </w:p>
    <w:p w:rsidR="00A363AC" w:rsidRDefault="005F0BD5" w:rsidP="005F0BD5">
      <w:pPr>
        <w:jc w:val="center"/>
        <w:rPr>
          <w:rFonts w:eastAsiaTheme="minorEastAsia"/>
          <w:b/>
          <w:bCs/>
          <w:i/>
          <w:iCs/>
          <w:noProof/>
          <w:color w:val="7F7F7F"/>
          <w:sz w:val="20"/>
          <w:szCs w:val="20"/>
          <w:lang w:eastAsia="sk-SK"/>
        </w:rPr>
      </w:pPr>
      <w:r>
        <w:rPr>
          <w:rFonts w:eastAsiaTheme="minorEastAsia"/>
          <w:b/>
          <w:bCs/>
          <w:i/>
          <w:iCs/>
          <w:noProof/>
          <w:color w:val="7F7F7F"/>
          <w:sz w:val="20"/>
          <w:szCs w:val="20"/>
          <w:lang w:eastAsia="sk-SK"/>
        </w:rPr>
        <w:t>Podporujeme výskumné aktivity na Slovensku/Projekt je spolufinancovaný zo zdrojov EÚ</w:t>
      </w:r>
    </w:p>
    <w:p w:rsidR="005F0BD5" w:rsidRDefault="005F0BD5" w:rsidP="005F0BD5">
      <w:pPr>
        <w:rPr>
          <w:rFonts w:eastAsiaTheme="minorEastAsia"/>
          <w:b/>
          <w:bCs/>
          <w:i/>
          <w:iCs/>
          <w:noProof/>
          <w:color w:val="7F7F7F"/>
          <w:sz w:val="20"/>
          <w:szCs w:val="20"/>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176EF5" w:rsidRPr="00176EF5" w:rsidRDefault="005F0BD5" w:rsidP="005F0BD5">
      <w:pPr>
        <w:jc w:val="center"/>
        <w:rPr>
          <w:rFonts w:eastAsiaTheme="minorEastAsia"/>
          <w:b/>
          <w:bCs/>
          <w:iCs/>
          <w:noProof/>
          <w:sz w:val="28"/>
          <w:szCs w:val="28"/>
          <w:lang w:eastAsia="sk-SK"/>
        </w:rPr>
      </w:pPr>
      <w:r w:rsidRPr="00176EF5">
        <w:rPr>
          <w:rFonts w:eastAsiaTheme="minorEastAsia"/>
          <w:b/>
          <w:bCs/>
          <w:iCs/>
          <w:noProof/>
          <w:sz w:val="28"/>
          <w:szCs w:val="28"/>
          <w:lang w:eastAsia="sk-SK"/>
        </w:rPr>
        <w:t>SPRÁVA O IMPLEM</w:t>
      </w:r>
      <w:r w:rsidR="00243618">
        <w:rPr>
          <w:rFonts w:eastAsiaTheme="minorEastAsia"/>
          <w:b/>
          <w:bCs/>
          <w:iCs/>
          <w:noProof/>
          <w:sz w:val="28"/>
          <w:szCs w:val="28"/>
          <w:lang w:eastAsia="sk-SK"/>
        </w:rPr>
        <w:t>E</w:t>
      </w:r>
      <w:r w:rsidRPr="00176EF5">
        <w:rPr>
          <w:rFonts w:eastAsiaTheme="minorEastAsia"/>
          <w:b/>
          <w:bCs/>
          <w:iCs/>
          <w:noProof/>
          <w:sz w:val="28"/>
          <w:szCs w:val="28"/>
          <w:lang w:eastAsia="sk-SK"/>
        </w:rPr>
        <w:t xml:space="preserve">NTÁCII PROJEKTU </w:t>
      </w:r>
    </w:p>
    <w:p w:rsidR="005F0BD5" w:rsidRPr="00176EF5" w:rsidRDefault="005F0BD5" w:rsidP="00680FE9">
      <w:pPr>
        <w:jc w:val="center"/>
        <w:rPr>
          <w:rFonts w:eastAsiaTheme="minorEastAsia"/>
          <w:b/>
          <w:bCs/>
          <w:iCs/>
          <w:noProof/>
          <w:sz w:val="28"/>
          <w:szCs w:val="28"/>
          <w:lang w:eastAsia="sk-SK"/>
        </w:rPr>
      </w:pPr>
      <w:r w:rsidRPr="00176EF5">
        <w:rPr>
          <w:rFonts w:eastAsiaTheme="minorEastAsia"/>
          <w:b/>
          <w:bCs/>
          <w:iCs/>
          <w:noProof/>
          <w:sz w:val="28"/>
          <w:szCs w:val="28"/>
          <w:lang w:eastAsia="sk-SK"/>
        </w:rPr>
        <w:t>k</w:t>
      </w:r>
      <w:r w:rsidR="00680FE9">
        <w:rPr>
          <w:rFonts w:eastAsiaTheme="minorEastAsia"/>
          <w:b/>
          <w:bCs/>
          <w:iCs/>
          <w:noProof/>
          <w:sz w:val="28"/>
          <w:szCs w:val="28"/>
          <w:lang w:eastAsia="sk-SK"/>
        </w:rPr>
        <w:t> 30.4</w:t>
      </w:r>
      <w:r w:rsidR="00DF7C69">
        <w:rPr>
          <w:rFonts w:eastAsiaTheme="minorEastAsia"/>
          <w:b/>
          <w:bCs/>
          <w:iCs/>
          <w:noProof/>
          <w:sz w:val="28"/>
          <w:szCs w:val="28"/>
          <w:lang w:eastAsia="sk-SK"/>
        </w:rPr>
        <w:t>.</w:t>
      </w:r>
      <w:r w:rsidRPr="00176EF5">
        <w:rPr>
          <w:rFonts w:eastAsiaTheme="minorEastAsia"/>
          <w:b/>
          <w:bCs/>
          <w:iCs/>
          <w:noProof/>
          <w:sz w:val="28"/>
          <w:szCs w:val="28"/>
          <w:lang w:eastAsia="sk-SK"/>
        </w:rPr>
        <w:t>2015</w:t>
      </w:r>
    </w:p>
    <w:p w:rsidR="00176EF5" w:rsidRDefault="00176EF5" w:rsidP="005F0BD5">
      <w:pPr>
        <w:jc w:val="center"/>
        <w:rPr>
          <w:rFonts w:eastAsiaTheme="minorEastAsia"/>
          <w:bCs/>
          <w:iCs/>
          <w:noProof/>
          <w:sz w:val="28"/>
          <w:szCs w:val="28"/>
          <w:lang w:eastAsia="sk-SK"/>
        </w:rPr>
      </w:pPr>
    </w:p>
    <w:p w:rsidR="00176EF5" w:rsidRDefault="00176EF5" w:rsidP="005F0BD5">
      <w:pPr>
        <w:jc w:val="center"/>
        <w:rPr>
          <w:rFonts w:eastAsiaTheme="minorEastAsia"/>
          <w:bCs/>
          <w:iCs/>
          <w:noProof/>
          <w:sz w:val="28"/>
          <w:szCs w:val="28"/>
          <w:lang w:eastAsia="sk-SK"/>
        </w:rPr>
      </w:pPr>
    </w:p>
    <w:p w:rsidR="00176EF5" w:rsidRDefault="00176EF5" w:rsidP="005F0BD5">
      <w:pPr>
        <w:jc w:val="center"/>
        <w:rPr>
          <w:rFonts w:eastAsiaTheme="minorEastAsia"/>
          <w:bCs/>
          <w:iCs/>
          <w:noProof/>
          <w:sz w:val="28"/>
          <w:szCs w:val="28"/>
          <w:lang w:eastAsia="sk-SK"/>
        </w:rPr>
      </w:pPr>
    </w:p>
    <w:p w:rsidR="00176EF5" w:rsidRDefault="00176EF5" w:rsidP="005F0BD5">
      <w:pPr>
        <w:jc w:val="center"/>
        <w:rPr>
          <w:rFonts w:eastAsiaTheme="minorEastAsia"/>
          <w:bCs/>
          <w:iCs/>
          <w:noProof/>
          <w:sz w:val="28"/>
          <w:szCs w:val="28"/>
          <w:lang w:eastAsia="sk-SK"/>
        </w:rPr>
      </w:pPr>
    </w:p>
    <w:p w:rsidR="006E4A8E" w:rsidRDefault="006E4A8E" w:rsidP="0065201F">
      <w:pPr>
        <w:rPr>
          <w:rFonts w:eastAsiaTheme="minorEastAsia"/>
          <w:bCs/>
          <w:iCs/>
          <w:noProof/>
          <w:lang w:eastAsia="sk-SK"/>
        </w:rPr>
      </w:pPr>
    </w:p>
    <w:p w:rsidR="006E4A8E" w:rsidRDefault="006E4A8E" w:rsidP="0065201F">
      <w:pPr>
        <w:rPr>
          <w:rFonts w:eastAsiaTheme="minorEastAsia"/>
          <w:bCs/>
          <w:iCs/>
          <w:noProof/>
          <w:lang w:eastAsia="sk-SK"/>
        </w:rPr>
      </w:pPr>
    </w:p>
    <w:p w:rsidR="006E4A8E" w:rsidRDefault="006E4A8E" w:rsidP="006E4A8E">
      <w:pPr>
        <w:rPr>
          <w:rFonts w:eastAsiaTheme="minorEastAsia"/>
          <w:bCs/>
          <w:iCs/>
          <w:noProof/>
          <w:lang w:eastAsia="sk-SK"/>
        </w:rPr>
      </w:pPr>
    </w:p>
    <w:p w:rsidR="00D70695" w:rsidRDefault="00D70695" w:rsidP="005F0BD5">
      <w:pPr>
        <w:jc w:val="center"/>
        <w:rPr>
          <w:rFonts w:eastAsiaTheme="minorEastAsia"/>
          <w:bCs/>
          <w:iCs/>
          <w:noProof/>
          <w:sz w:val="28"/>
          <w:szCs w:val="28"/>
          <w:lang w:eastAsia="sk-SK"/>
        </w:rPr>
      </w:pPr>
    </w:p>
    <w:p w:rsidR="006E4A8E" w:rsidRDefault="006E4A8E" w:rsidP="005F0BD5">
      <w:pPr>
        <w:jc w:val="center"/>
        <w:rPr>
          <w:rFonts w:eastAsiaTheme="minorEastAsia"/>
          <w:bCs/>
          <w:iCs/>
          <w:noProof/>
          <w:sz w:val="28"/>
          <w:szCs w:val="28"/>
          <w:lang w:eastAsia="sk-SK"/>
        </w:rPr>
      </w:pPr>
    </w:p>
    <w:p w:rsidR="00C706AA" w:rsidRDefault="00C706AA" w:rsidP="005F0BD5">
      <w:pPr>
        <w:jc w:val="center"/>
        <w:rPr>
          <w:rFonts w:eastAsiaTheme="minorEastAsia"/>
          <w:bCs/>
          <w:iCs/>
          <w:noProof/>
          <w:sz w:val="28"/>
          <w:szCs w:val="28"/>
          <w:lang w:eastAsia="sk-SK"/>
        </w:rPr>
      </w:pPr>
    </w:p>
    <w:p w:rsidR="00176EF5" w:rsidRPr="00176EF5" w:rsidRDefault="00176EF5" w:rsidP="002877FE">
      <w:pPr>
        <w:rPr>
          <w:rFonts w:eastAsiaTheme="minorEastAsia"/>
          <w:bCs/>
          <w:iCs/>
          <w:noProof/>
          <w:sz w:val="28"/>
          <w:szCs w:val="28"/>
          <w:lang w:eastAsia="sk-SK"/>
        </w:rPr>
      </w:pPr>
    </w:p>
    <w:p w:rsidR="005F0BD5" w:rsidRDefault="002877FE" w:rsidP="005F0BD5">
      <w:pPr>
        <w:rPr>
          <w:rFonts w:eastAsiaTheme="minorEastAsia"/>
          <w:bCs/>
          <w:iCs/>
          <w:noProof/>
          <w:lang w:eastAsia="sk-SK"/>
        </w:rPr>
      </w:pPr>
      <w:r w:rsidRPr="002877FE">
        <w:rPr>
          <w:rFonts w:eastAsiaTheme="minorEastAsia"/>
          <w:bCs/>
          <w:iCs/>
          <w:noProof/>
          <w:lang w:eastAsia="sk-SK"/>
        </w:rPr>
        <w:t>1.</w:t>
      </w:r>
      <w:r w:rsidR="00D70695">
        <w:rPr>
          <w:rFonts w:eastAsiaTheme="minorEastAsia"/>
          <w:bCs/>
          <w:iCs/>
          <w:noProof/>
          <w:lang w:eastAsia="sk-SK"/>
        </w:rPr>
        <w:t xml:space="preserve"> Základné údaje </w:t>
      </w:r>
    </w:p>
    <w:tbl>
      <w:tblPr>
        <w:tblStyle w:val="Mriekatabuky"/>
        <w:tblW w:w="10490" w:type="dxa"/>
        <w:tblInd w:w="-601" w:type="dxa"/>
        <w:tblLook w:val="04A0" w:firstRow="1" w:lastRow="0" w:firstColumn="1" w:lastColumn="0" w:noHBand="0" w:noVBand="1"/>
      </w:tblPr>
      <w:tblGrid>
        <w:gridCol w:w="3261"/>
        <w:gridCol w:w="7229"/>
      </w:tblGrid>
      <w:tr w:rsidR="005F0BD5" w:rsidTr="003272E8">
        <w:tc>
          <w:tcPr>
            <w:tcW w:w="3261" w:type="dxa"/>
            <w:shd w:val="clear" w:color="auto" w:fill="9BD4F9" w:themeFill="background2" w:themeFillShade="E6"/>
          </w:tcPr>
          <w:p w:rsidR="005F0BD5" w:rsidRPr="00176EF5" w:rsidRDefault="005F0BD5" w:rsidP="005F0BD5">
            <w:pPr>
              <w:rPr>
                <w:b/>
              </w:rPr>
            </w:pPr>
            <w:r w:rsidRPr="00176EF5">
              <w:rPr>
                <w:b/>
              </w:rPr>
              <w:t xml:space="preserve">Názov projektu </w:t>
            </w:r>
          </w:p>
        </w:tc>
        <w:tc>
          <w:tcPr>
            <w:tcW w:w="7229" w:type="dxa"/>
          </w:tcPr>
          <w:p w:rsidR="005F0BD5" w:rsidRDefault="006D6EB3" w:rsidP="005F0BD5">
            <w:r w:rsidRPr="006D6EB3">
              <w:t>Univerzitný vedecký park TECHNICOM pre inovačné aplikácie s podporou znalostných technológií</w:t>
            </w:r>
          </w:p>
        </w:tc>
      </w:tr>
      <w:tr w:rsidR="005F0BD5" w:rsidTr="003272E8">
        <w:tc>
          <w:tcPr>
            <w:tcW w:w="3261" w:type="dxa"/>
            <w:shd w:val="clear" w:color="auto" w:fill="9BD4F9" w:themeFill="background2" w:themeFillShade="E6"/>
          </w:tcPr>
          <w:p w:rsidR="005F0BD5" w:rsidRPr="00176EF5" w:rsidRDefault="005F0BD5" w:rsidP="005F0BD5">
            <w:pPr>
              <w:rPr>
                <w:b/>
              </w:rPr>
            </w:pPr>
            <w:r w:rsidRPr="00176EF5">
              <w:rPr>
                <w:b/>
              </w:rPr>
              <w:t xml:space="preserve">Kód ITMS projektu </w:t>
            </w:r>
          </w:p>
        </w:tc>
        <w:tc>
          <w:tcPr>
            <w:tcW w:w="7229" w:type="dxa"/>
          </w:tcPr>
          <w:p w:rsidR="005F0BD5" w:rsidRDefault="00442CAC" w:rsidP="005F0BD5">
            <w:r>
              <w:t>26220220182</w:t>
            </w:r>
          </w:p>
        </w:tc>
      </w:tr>
      <w:tr w:rsidR="005F0BD5" w:rsidTr="003272E8">
        <w:tc>
          <w:tcPr>
            <w:tcW w:w="3261" w:type="dxa"/>
            <w:shd w:val="clear" w:color="auto" w:fill="9BD4F9" w:themeFill="background2" w:themeFillShade="E6"/>
          </w:tcPr>
          <w:p w:rsidR="005F0BD5" w:rsidRPr="00176EF5" w:rsidRDefault="005F0BD5" w:rsidP="005F0BD5">
            <w:pPr>
              <w:rPr>
                <w:b/>
              </w:rPr>
            </w:pPr>
            <w:r w:rsidRPr="00176EF5">
              <w:rPr>
                <w:b/>
              </w:rPr>
              <w:t xml:space="preserve">Kód výzvy </w:t>
            </w:r>
          </w:p>
        </w:tc>
        <w:tc>
          <w:tcPr>
            <w:tcW w:w="7229" w:type="dxa"/>
          </w:tcPr>
          <w:p w:rsidR="005F0BD5" w:rsidRDefault="00442CAC" w:rsidP="005F0BD5">
            <w:r>
              <w:t>OPVaV-2012/2.2/08-RO</w:t>
            </w:r>
          </w:p>
        </w:tc>
      </w:tr>
      <w:tr w:rsidR="00D70695" w:rsidTr="003272E8">
        <w:tc>
          <w:tcPr>
            <w:tcW w:w="3261" w:type="dxa"/>
            <w:shd w:val="clear" w:color="auto" w:fill="9BD4F9" w:themeFill="background2" w:themeFillShade="E6"/>
          </w:tcPr>
          <w:p w:rsidR="00D70695" w:rsidRPr="00176EF5" w:rsidRDefault="00D70695" w:rsidP="005F0BD5">
            <w:pPr>
              <w:rPr>
                <w:b/>
              </w:rPr>
            </w:pPr>
            <w:r>
              <w:rPr>
                <w:b/>
              </w:rPr>
              <w:t xml:space="preserve">Výška NFP </w:t>
            </w:r>
          </w:p>
        </w:tc>
        <w:tc>
          <w:tcPr>
            <w:tcW w:w="7229" w:type="dxa"/>
          </w:tcPr>
          <w:p w:rsidR="00D70695" w:rsidRDefault="0080026A" w:rsidP="005F0BD5">
            <w:r w:rsidRPr="0080026A">
              <w:t>39</w:t>
            </w:r>
            <w:r>
              <w:t> </w:t>
            </w:r>
            <w:r w:rsidRPr="0080026A">
              <w:t>648</w:t>
            </w:r>
            <w:r>
              <w:t xml:space="preserve"> </w:t>
            </w:r>
            <w:r w:rsidRPr="0080026A">
              <w:t>903,64</w:t>
            </w:r>
            <w:r>
              <w:t xml:space="preserve"> EUR</w:t>
            </w:r>
          </w:p>
        </w:tc>
      </w:tr>
      <w:tr w:rsidR="005F0BD5" w:rsidTr="003272E8">
        <w:tc>
          <w:tcPr>
            <w:tcW w:w="3261" w:type="dxa"/>
            <w:shd w:val="clear" w:color="auto" w:fill="9BD4F9" w:themeFill="background2" w:themeFillShade="E6"/>
          </w:tcPr>
          <w:p w:rsidR="005F0BD5" w:rsidRPr="00176EF5" w:rsidRDefault="005F0BD5" w:rsidP="005F0BD5">
            <w:pPr>
              <w:rPr>
                <w:b/>
              </w:rPr>
            </w:pPr>
            <w:r w:rsidRPr="00176EF5">
              <w:rPr>
                <w:b/>
              </w:rPr>
              <w:t xml:space="preserve">Číslo zmluvy o poskytnutí NFP </w:t>
            </w:r>
          </w:p>
        </w:tc>
        <w:tc>
          <w:tcPr>
            <w:tcW w:w="7229" w:type="dxa"/>
          </w:tcPr>
          <w:p w:rsidR="005F0BD5" w:rsidRDefault="0080026A" w:rsidP="005F0BD5">
            <w:r>
              <w:t>OPVaV/8/2013</w:t>
            </w:r>
          </w:p>
        </w:tc>
      </w:tr>
      <w:tr w:rsidR="005F0BD5" w:rsidTr="003272E8">
        <w:tc>
          <w:tcPr>
            <w:tcW w:w="3261" w:type="dxa"/>
            <w:shd w:val="clear" w:color="auto" w:fill="9BD4F9" w:themeFill="background2" w:themeFillShade="E6"/>
          </w:tcPr>
          <w:p w:rsidR="005F0BD5" w:rsidRPr="00176EF5" w:rsidRDefault="005F0BD5" w:rsidP="005F0BD5">
            <w:pPr>
              <w:rPr>
                <w:b/>
              </w:rPr>
            </w:pPr>
            <w:r w:rsidRPr="00176EF5">
              <w:rPr>
                <w:b/>
              </w:rPr>
              <w:t xml:space="preserve">Prijímateľ </w:t>
            </w:r>
          </w:p>
        </w:tc>
        <w:tc>
          <w:tcPr>
            <w:tcW w:w="7229" w:type="dxa"/>
          </w:tcPr>
          <w:p w:rsidR="005F0BD5" w:rsidRDefault="0080026A" w:rsidP="005F0BD5">
            <w:r w:rsidRPr="0080026A">
              <w:t>Technická univerzita v Košiciach</w:t>
            </w:r>
          </w:p>
        </w:tc>
      </w:tr>
      <w:tr w:rsidR="005F0BD5" w:rsidTr="003272E8">
        <w:tc>
          <w:tcPr>
            <w:tcW w:w="3261" w:type="dxa"/>
            <w:shd w:val="clear" w:color="auto" w:fill="9BD4F9" w:themeFill="background2" w:themeFillShade="E6"/>
          </w:tcPr>
          <w:p w:rsidR="005F0BD5" w:rsidRPr="00176EF5" w:rsidRDefault="004822D7" w:rsidP="005F0BD5">
            <w:pPr>
              <w:rPr>
                <w:b/>
              </w:rPr>
            </w:pPr>
            <w:r>
              <w:rPr>
                <w:b/>
              </w:rPr>
              <w:t>Partner 1</w:t>
            </w:r>
          </w:p>
        </w:tc>
        <w:tc>
          <w:tcPr>
            <w:tcW w:w="7229" w:type="dxa"/>
          </w:tcPr>
          <w:p w:rsidR="005F0BD5" w:rsidRDefault="00DF7C69" w:rsidP="005F0BD5">
            <w:r w:rsidRPr="00DF7C69">
              <w:t>Univerzita Pavla Jozefa Šafárika v Košiciach</w:t>
            </w:r>
          </w:p>
        </w:tc>
      </w:tr>
      <w:tr w:rsidR="004822D7" w:rsidTr="003272E8">
        <w:tc>
          <w:tcPr>
            <w:tcW w:w="3261" w:type="dxa"/>
            <w:shd w:val="clear" w:color="auto" w:fill="9BD4F9" w:themeFill="background2" w:themeFillShade="E6"/>
          </w:tcPr>
          <w:p w:rsidR="004822D7" w:rsidRDefault="004822D7" w:rsidP="005F0BD5">
            <w:pPr>
              <w:rPr>
                <w:b/>
              </w:rPr>
            </w:pPr>
            <w:r>
              <w:rPr>
                <w:b/>
              </w:rPr>
              <w:t>Partner 2</w:t>
            </w:r>
          </w:p>
        </w:tc>
        <w:tc>
          <w:tcPr>
            <w:tcW w:w="7229" w:type="dxa"/>
          </w:tcPr>
          <w:p w:rsidR="004822D7" w:rsidRDefault="00DF7C69" w:rsidP="005F0BD5">
            <w:r w:rsidRPr="00DF7C69">
              <w:t>Prešovská univerzita v Prešove</w:t>
            </w:r>
          </w:p>
        </w:tc>
      </w:tr>
    </w:tbl>
    <w:p w:rsidR="002877FE" w:rsidRDefault="002877FE" w:rsidP="005F0BD5"/>
    <w:p w:rsidR="00E3137C" w:rsidRDefault="00E3137C" w:rsidP="005F0BD5"/>
    <w:p w:rsidR="00204800" w:rsidRDefault="00204800" w:rsidP="005F0BD5"/>
    <w:p w:rsidR="006E4A8E" w:rsidRDefault="006E4A8E" w:rsidP="005F0BD5"/>
    <w:p w:rsidR="0065201F" w:rsidRDefault="0065201F" w:rsidP="0065201F">
      <w:pPr>
        <w:rPr>
          <w:rFonts w:eastAsiaTheme="minorEastAsia"/>
          <w:bCs/>
          <w:iCs/>
          <w:noProof/>
          <w:lang w:eastAsia="sk-SK"/>
        </w:rPr>
      </w:pPr>
      <w:r>
        <w:rPr>
          <w:rFonts w:eastAsiaTheme="minorEastAsia"/>
          <w:bCs/>
          <w:iCs/>
          <w:noProof/>
          <w:lang w:eastAsia="sk-SK"/>
        </w:rPr>
        <w:lastRenderedPageBreak/>
        <w:t xml:space="preserve">2. </w:t>
      </w:r>
      <w:r w:rsidR="00365918">
        <w:rPr>
          <w:rFonts w:eastAsiaTheme="minorEastAsia"/>
          <w:bCs/>
          <w:iCs/>
          <w:noProof/>
          <w:lang w:eastAsia="sk-SK"/>
        </w:rPr>
        <w:t>Vecný pokrok v realizácii</w:t>
      </w:r>
      <w:r>
        <w:rPr>
          <w:rFonts w:eastAsiaTheme="minorEastAsia"/>
          <w:bCs/>
          <w:iCs/>
          <w:noProof/>
          <w:lang w:eastAsia="sk-SK"/>
        </w:rPr>
        <w:t xml:space="preserve"> aktivít</w:t>
      </w:r>
      <w:r w:rsidR="00365918">
        <w:rPr>
          <w:rFonts w:eastAsiaTheme="minorEastAsia"/>
          <w:bCs/>
          <w:iCs/>
          <w:noProof/>
          <w:lang w:eastAsia="sk-SK"/>
        </w:rPr>
        <w:t xml:space="preserve"> projektu </w:t>
      </w:r>
      <w:r>
        <w:rPr>
          <w:rFonts w:eastAsiaTheme="minorEastAsia"/>
          <w:bCs/>
          <w:iCs/>
          <w:noProof/>
          <w:lang w:eastAsia="sk-SK"/>
        </w:rPr>
        <w:t xml:space="preserve"> </w:t>
      </w:r>
      <w:r w:rsidR="00365918">
        <w:rPr>
          <w:rFonts w:eastAsiaTheme="minorEastAsia"/>
          <w:bCs/>
          <w:iCs/>
          <w:noProof/>
          <w:lang w:eastAsia="sk-SK"/>
        </w:rPr>
        <w:t>a rizikové oblasti</w:t>
      </w:r>
      <w:r>
        <w:rPr>
          <w:rFonts w:eastAsiaTheme="minorEastAsia"/>
          <w:bCs/>
          <w:iCs/>
          <w:noProof/>
          <w:lang w:eastAsia="sk-SK"/>
        </w:rPr>
        <w:t xml:space="preserve"> </w:t>
      </w:r>
    </w:p>
    <w:tbl>
      <w:tblPr>
        <w:tblStyle w:val="Mriekatabuky"/>
        <w:tblW w:w="10490" w:type="dxa"/>
        <w:tblInd w:w="-601" w:type="dxa"/>
        <w:tblLook w:val="04A0" w:firstRow="1" w:lastRow="0" w:firstColumn="1" w:lastColumn="0" w:noHBand="0" w:noVBand="1"/>
      </w:tblPr>
      <w:tblGrid>
        <w:gridCol w:w="2660"/>
        <w:gridCol w:w="7830"/>
      </w:tblGrid>
      <w:tr w:rsidR="0065201F" w:rsidTr="003272E8">
        <w:tc>
          <w:tcPr>
            <w:tcW w:w="10490" w:type="dxa"/>
            <w:gridSpan w:val="2"/>
            <w:shd w:val="clear" w:color="auto" w:fill="9BD4F9" w:themeFill="background2" w:themeFillShade="E6"/>
            <w:vAlign w:val="center"/>
          </w:tcPr>
          <w:p w:rsidR="0065201F" w:rsidRPr="00EA150F" w:rsidRDefault="0065201F" w:rsidP="003272E8">
            <w:pPr>
              <w:ind w:left="-709" w:firstLine="709"/>
              <w:jc w:val="center"/>
              <w:rPr>
                <w:b/>
                <w:vertAlign w:val="superscript"/>
              </w:rPr>
            </w:pPr>
            <w:r w:rsidRPr="0065201F">
              <w:rPr>
                <w:rFonts w:eastAsiaTheme="minorEastAsia"/>
                <w:b/>
                <w:bCs/>
                <w:iCs/>
                <w:noProof/>
                <w:lang w:eastAsia="sk-SK"/>
              </w:rPr>
              <w:t>Vecn</w:t>
            </w:r>
            <w:r w:rsidR="00365918">
              <w:rPr>
                <w:rFonts w:eastAsiaTheme="minorEastAsia"/>
                <w:b/>
                <w:bCs/>
                <w:iCs/>
                <w:noProof/>
                <w:lang w:eastAsia="sk-SK"/>
              </w:rPr>
              <w:t>ý pokrok v realizácii</w:t>
            </w:r>
            <w:r w:rsidRPr="0065201F">
              <w:rPr>
                <w:rFonts w:eastAsiaTheme="minorEastAsia"/>
                <w:b/>
                <w:bCs/>
                <w:iCs/>
                <w:noProof/>
                <w:lang w:eastAsia="sk-SK"/>
              </w:rPr>
              <w:t xml:space="preserve"> aktivít</w:t>
            </w:r>
            <w:r w:rsidR="00365918">
              <w:rPr>
                <w:rFonts w:eastAsiaTheme="minorEastAsia"/>
                <w:b/>
                <w:bCs/>
                <w:iCs/>
                <w:noProof/>
                <w:lang w:eastAsia="sk-SK"/>
              </w:rPr>
              <w:t xml:space="preserve"> projektu</w:t>
            </w:r>
            <w:r w:rsidRPr="0065201F">
              <w:rPr>
                <w:rFonts w:eastAsiaTheme="minorEastAsia"/>
                <w:b/>
                <w:bCs/>
                <w:iCs/>
                <w:noProof/>
                <w:lang w:eastAsia="sk-SK"/>
              </w:rPr>
              <w:t xml:space="preserve"> </w:t>
            </w:r>
            <w:r w:rsidR="00365918">
              <w:rPr>
                <w:rFonts w:eastAsiaTheme="minorEastAsia"/>
                <w:b/>
                <w:bCs/>
                <w:iCs/>
                <w:noProof/>
                <w:lang w:eastAsia="sk-SK"/>
              </w:rPr>
              <w:t>a rizikové oblasti</w:t>
            </w:r>
            <w:r w:rsidR="00EA150F">
              <w:rPr>
                <w:rFonts w:eastAsiaTheme="minorEastAsia"/>
                <w:b/>
                <w:bCs/>
                <w:iCs/>
                <w:noProof/>
                <w:vertAlign w:val="superscript"/>
                <w:lang w:eastAsia="sk-SK"/>
              </w:rPr>
              <w:t>1</w:t>
            </w:r>
          </w:p>
        </w:tc>
      </w:tr>
      <w:tr w:rsidR="0065201F" w:rsidTr="003272E8">
        <w:tc>
          <w:tcPr>
            <w:tcW w:w="10490" w:type="dxa"/>
            <w:gridSpan w:val="2"/>
            <w:shd w:val="clear" w:color="auto" w:fill="9BD4F9" w:themeFill="background2" w:themeFillShade="E6"/>
            <w:vAlign w:val="center"/>
          </w:tcPr>
          <w:p w:rsidR="0065201F" w:rsidRPr="0065201F" w:rsidRDefault="0065201F" w:rsidP="0065201F">
            <w:pPr>
              <w:jc w:val="center"/>
              <w:rPr>
                <w:b/>
              </w:rPr>
            </w:pPr>
            <w:r w:rsidRPr="0065201F">
              <w:rPr>
                <w:b/>
              </w:rPr>
              <w:t>Hlavné aktivity</w:t>
            </w:r>
          </w:p>
        </w:tc>
      </w:tr>
      <w:tr w:rsidR="0065201F" w:rsidTr="003272E8">
        <w:tc>
          <w:tcPr>
            <w:tcW w:w="2660" w:type="dxa"/>
            <w:shd w:val="clear" w:color="auto" w:fill="9BD4F9" w:themeFill="background2" w:themeFillShade="E6"/>
          </w:tcPr>
          <w:p w:rsidR="0065201F" w:rsidRDefault="006D6EB3" w:rsidP="00B53979">
            <w:r w:rsidRPr="006D6EB3">
              <w:t>Aktivita 1.1 Etablovanie UVP TECHNICOM v súlade s adekvátnymi princípmi vedeckého manažmentu.</w:t>
            </w:r>
          </w:p>
          <w:p w:rsidR="00E12A9A" w:rsidRPr="00E12A9A" w:rsidRDefault="00E12A9A" w:rsidP="00B53979">
            <w:r>
              <w:rPr>
                <w:sz w:val="20"/>
                <w:szCs w:val="20"/>
              </w:rPr>
              <w:t>(</w:t>
            </w:r>
            <w:r w:rsidRPr="00E12A9A">
              <w:rPr>
                <w:sz w:val="20"/>
                <w:szCs w:val="20"/>
              </w:rPr>
              <w:t>doc. Ing. František Jakab, PhD.</w:t>
            </w:r>
            <w:r>
              <w:rPr>
                <w:sz w:val="20"/>
                <w:szCs w:val="20"/>
              </w:rPr>
              <w:t>)</w:t>
            </w:r>
          </w:p>
        </w:tc>
        <w:tc>
          <w:tcPr>
            <w:tcW w:w="7830" w:type="dxa"/>
          </w:tcPr>
          <w:p w:rsidR="00204800" w:rsidRDefault="00204800" w:rsidP="005F0BD5">
            <w:pPr>
              <w:rPr>
                <w:u w:val="single"/>
              </w:rPr>
            </w:pPr>
            <w:r w:rsidRPr="00204800">
              <w:rPr>
                <w:u w:val="single"/>
              </w:rPr>
              <w:t>V</w:t>
            </w:r>
            <w:r>
              <w:rPr>
                <w:u w:val="single"/>
              </w:rPr>
              <w:t>ecný pokrok v realizácii aktivity:</w:t>
            </w:r>
          </w:p>
          <w:p w:rsidR="00204800" w:rsidRDefault="00204800" w:rsidP="005F0BD5">
            <w:pPr>
              <w:rPr>
                <w:u w:val="single"/>
              </w:rPr>
            </w:pPr>
          </w:p>
          <w:p w:rsidR="0065201F" w:rsidRPr="00204800" w:rsidRDefault="00204800" w:rsidP="005F0BD5">
            <w:pPr>
              <w:rPr>
                <w:u w:val="single"/>
              </w:rPr>
            </w:pPr>
            <w:r>
              <w:rPr>
                <w:u w:val="single"/>
              </w:rPr>
              <w:t>D</w:t>
            </w:r>
            <w:r w:rsidR="00647E2E" w:rsidRPr="00204800">
              <w:rPr>
                <w:u w:val="single"/>
              </w:rPr>
              <w:t>osiahnuté výsledky aktivity</w:t>
            </w:r>
            <w:r w:rsidRPr="00204800">
              <w:rPr>
                <w:u w:val="single"/>
              </w:rPr>
              <w:t>:</w:t>
            </w:r>
          </w:p>
          <w:p w:rsidR="00204800" w:rsidRDefault="00204800" w:rsidP="005F0BD5"/>
          <w:p w:rsidR="00EA150F" w:rsidRPr="00204800" w:rsidRDefault="00204800" w:rsidP="005F0BD5">
            <w:pPr>
              <w:rPr>
                <w:u w:val="single"/>
              </w:rPr>
            </w:pPr>
            <w:r>
              <w:rPr>
                <w:u w:val="single"/>
              </w:rPr>
              <w:t>R</w:t>
            </w:r>
            <w:r w:rsidR="00647E2E" w:rsidRPr="00204800">
              <w:rPr>
                <w:u w:val="single"/>
              </w:rPr>
              <w:t>izikové oblasti</w:t>
            </w:r>
            <w:r w:rsidRPr="00204800">
              <w:rPr>
                <w:u w:val="single"/>
              </w:rPr>
              <w:t>:</w:t>
            </w:r>
          </w:p>
          <w:p w:rsidR="00204800" w:rsidRDefault="00204800" w:rsidP="005F0BD5"/>
          <w:p w:rsidR="00647E2E" w:rsidRPr="00204800" w:rsidRDefault="00204800" w:rsidP="00204800">
            <w:pPr>
              <w:rPr>
                <w:u w:val="single"/>
              </w:rPr>
            </w:pPr>
            <w:r>
              <w:rPr>
                <w:u w:val="single"/>
              </w:rPr>
              <w:t>A</w:t>
            </w:r>
            <w:r w:rsidR="00647E2E" w:rsidRPr="00204800">
              <w:rPr>
                <w:u w:val="single"/>
              </w:rPr>
              <w:t>k je realizácia aktivít v omeškaní, je potrebné uviesť dôvody omeškania a aké boli prijaté opatrenia</w:t>
            </w:r>
            <w:r w:rsidRPr="00204800">
              <w:rPr>
                <w:u w:val="single"/>
              </w:rPr>
              <w:t>:</w:t>
            </w:r>
          </w:p>
          <w:p w:rsidR="00204800" w:rsidRDefault="00204800" w:rsidP="00204800"/>
        </w:tc>
      </w:tr>
      <w:tr w:rsidR="0065201F" w:rsidTr="003272E8">
        <w:tc>
          <w:tcPr>
            <w:tcW w:w="2660" w:type="dxa"/>
            <w:shd w:val="clear" w:color="auto" w:fill="9BD4F9" w:themeFill="background2" w:themeFillShade="E6"/>
          </w:tcPr>
          <w:p w:rsidR="0065201F" w:rsidRDefault="006D6EB3" w:rsidP="005F0BD5">
            <w:r w:rsidRPr="006D6EB3">
              <w:t>Aktivita 1.2 Metodická, odborná a realizačná podpora riešenia predkladaného projektu</w:t>
            </w:r>
          </w:p>
          <w:p w:rsidR="00E12A9A" w:rsidRDefault="00E12A9A" w:rsidP="005F0BD5">
            <w:r w:rsidRPr="00E12A9A">
              <w:t>(PhDr. Branislav Bonk)</w:t>
            </w:r>
          </w:p>
        </w:tc>
        <w:tc>
          <w:tcPr>
            <w:tcW w:w="7830" w:type="dxa"/>
          </w:tcPr>
          <w:p w:rsidR="00204800" w:rsidRDefault="00204800" w:rsidP="00204800">
            <w:pPr>
              <w:rPr>
                <w:u w:val="single"/>
              </w:rPr>
            </w:pPr>
            <w:r w:rsidRPr="00204800">
              <w:rPr>
                <w:u w:val="single"/>
              </w:rPr>
              <w:t>V</w:t>
            </w:r>
            <w:r>
              <w:rPr>
                <w:u w:val="single"/>
              </w:rPr>
              <w:t>ecný pokrok v realizácii aktivity:</w:t>
            </w:r>
          </w:p>
          <w:p w:rsidR="00204800" w:rsidRDefault="00204800" w:rsidP="00647E2E"/>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EA150F" w:rsidRDefault="00EA150F" w:rsidP="005F0BD5"/>
        </w:tc>
      </w:tr>
      <w:tr w:rsidR="0065201F" w:rsidTr="003272E8">
        <w:tc>
          <w:tcPr>
            <w:tcW w:w="2660" w:type="dxa"/>
            <w:shd w:val="clear" w:color="auto" w:fill="9BD4F9" w:themeFill="background2" w:themeFillShade="E6"/>
          </w:tcPr>
          <w:p w:rsidR="0065201F" w:rsidRDefault="006D6EB3" w:rsidP="005F0BD5">
            <w:r w:rsidRPr="006D6EB3">
              <w:t>Aktivita 1.3 Príprava a zabezpečenie služieb pre udržateľný chod UVP TECHNICOM</w:t>
            </w:r>
          </w:p>
          <w:p w:rsidR="00E12A9A" w:rsidRDefault="00E12A9A" w:rsidP="005F0BD5">
            <w:r>
              <w:rPr>
                <w:sz w:val="20"/>
                <w:szCs w:val="20"/>
              </w:rPr>
              <w:t>(</w:t>
            </w:r>
            <w:r w:rsidRPr="00E12A9A">
              <w:rPr>
                <w:sz w:val="20"/>
                <w:szCs w:val="20"/>
              </w:rPr>
              <w:t>doc. Ing. František Jakab, PhD.</w:t>
            </w:r>
            <w:r>
              <w:rPr>
                <w:sz w:val="20"/>
                <w:szCs w:val="20"/>
              </w:rPr>
              <w:t>)</w:t>
            </w:r>
          </w:p>
        </w:tc>
        <w:tc>
          <w:tcPr>
            <w:tcW w:w="7830" w:type="dxa"/>
          </w:tcPr>
          <w:p w:rsidR="00204800" w:rsidRDefault="00204800" w:rsidP="00204800">
            <w:pPr>
              <w:rPr>
                <w:u w:val="single"/>
              </w:rPr>
            </w:pPr>
            <w:r w:rsidRPr="00204800">
              <w:rPr>
                <w:u w:val="single"/>
              </w:rPr>
              <w:t>V</w:t>
            </w:r>
            <w:r>
              <w:rPr>
                <w:u w:val="single"/>
              </w:rPr>
              <w:t>ecný pokrok v realizácii aktivity:</w:t>
            </w:r>
          </w:p>
          <w:p w:rsidR="00204800" w:rsidRDefault="00204800" w:rsidP="00647E2E"/>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EA150F" w:rsidRDefault="00EA150F" w:rsidP="005F0BD5"/>
        </w:tc>
      </w:tr>
      <w:tr w:rsidR="0065201F" w:rsidTr="003272E8">
        <w:tc>
          <w:tcPr>
            <w:tcW w:w="2660" w:type="dxa"/>
            <w:shd w:val="clear" w:color="auto" w:fill="9BD4F9" w:themeFill="background2" w:themeFillShade="E6"/>
          </w:tcPr>
          <w:p w:rsidR="0065201F" w:rsidRDefault="006D6EB3" w:rsidP="005F0BD5">
            <w:r w:rsidRPr="006D6EB3">
              <w:t>Aktivita 2.1. Vybudovanie stavebných objektov a príslušnej infraštruktúry v areáli TUKE</w:t>
            </w:r>
          </w:p>
          <w:p w:rsidR="00E12A9A" w:rsidRDefault="00E12A9A" w:rsidP="005F0BD5">
            <w:r w:rsidRPr="00E12A9A">
              <w:t>(Ing. Marcel Behún, PhD.)</w:t>
            </w:r>
          </w:p>
        </w:tc>
        <w:tc>
          <w:tcPr>
            <w:tcW w:w="7830" w:type="dxa"/>
          </w:tcPr>
          <w:p w:rsidR="00204800" w:rsidRDefault="00204800" w:rsidP="00204800">
            <w:pPr>
              <w:rPr>
                <w:u w:val="single"/>
              </w:rPr>
            </w:pPr>
            <w:r w:rsidRPr="00204800">
              <w:rPr>
                <w:u w:val="single"/>
              </w:rPr>
              <w:t>V</w:t>
            </w:r>
            <w:r>
              <w:rPr>
                <w:u w:val="single"/>
              </w:rPr>
              <w:t>ecný pokrok v realizácii aktivity:</w:t>
            </w:r>
          </w:p>
          <w:p w:rsidR="00204800" w:rsidRDefault="00204800" w:rsidP="005F0BD5"/>
          <w:p w:rsidR="0065201F" w:rsidRDefault="00204800" w:rsidP="005F0BD5">
            <w:pPr>
              <w:rPr>
                <w:u w:val="single"/>
              </w:rPr>
            </w:pPr>
            <w:r w:rsidRPr="00204800">
              <w:rPr>
                <w:u w:val="single"/>
              </w:rPr>
              <w:t>S</w:t>
            </w:r>
            <w:r w:rsidR="00717D64" w:rsidRPr="00204800">
              <w:rPr>
                <w:u w:val="single"/>
              </w:rPr>
              <w:t>účasný stav verejného obstarávania</w:t>
            </w:r>
            <w:r w:rsidRPr="00204800">
              <w:rPr>
                <w:u w:val="single"/>
              </w:rPr>
              <w:t>:</w:t>
            </w:r>
          </w:p>
          <w:p w:rsidR="00204800" w:rsidRPr="00204800" w:rsidRDefault="00204800" w:rsidP="005F0BD5">
            <w:pPr>
              <w:rPr>
                <w:u w:val="single"/>
              </w:rPr>
            </w:pPr>
          </w:p>
          <w:p w:rsidR="00EA150F" w:rsidRPr="00204800" w:rsidRDefault="00204800" w:rsidP="005F0BD5">
            <w:pPr>
              <w:rPr>
                <w:u w:val="single"/>
              </w:rPr>
            </w:pPr>
            <w:r w:rsidRPr="00204800">
              <w:rPr>
                <w:u w:val="single"/>
              </w:rPr>
              <w:t>P</w:t>
            </w:r>
            <w:r w:rsidR="00647E2E" w:rsidRPr="00204800">
              <w:rPr>
                <w:u w:val="single"/>
              </w:rPr>
              <w:t>okrok v stavebných činnostiach</w:t>
            </w:r>
            <w:r w:rsidRPr="00204800">
              <w:rPr>
                <w:u w:val="single"/>
              </w:rPr>
              <w:t>:</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755127" w:rsidRDefault="00755127"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p w:rsidR="00755127" w:rsidRPr="00755127" w:rsidRDefault="00755127" w:rsidP="005F0BD5">
            <w:r w:rsidRPr="00755127">
              <w:t>(Fotodokumentácia</w:t>
            </w:r>
            <w:r>
              <w:t xml:space="preserve"> aktuálneho stavu)</w:t>
            </w:r>
          </w:p>
        </w:tc>
      </w:tr>
      <w:tr w:rsidR="0065201F" w:rsidTr="003272E8">
        <w:tc>
          <w:tcPr>
            <w:tcW w:w="2660" w:type="dxa"/>
            <w:shd w:val="clear" w:color="auto" w:fill="9BD4F9" w:themeFill="background2" w:themeFillShade="E6"/>
          </w:tcPr>
          <w:p w:rsidR="0065201F" w:rsidRDefault="006D6EB3" w:rsidP="005F0BD5">
            <w:r w:rsidRPr="006D6EB3">
              <w:t>Aktivita 2.2. Vybavenie objektov UVP na TUKE prístrojovou, IKT a špecializovanou technikou pre potreby VaV</w:t>
            </w:r>
          </w:p>
          <w:p w:rsidR="00E12A9A" w:rsidRDefault="00E12A9A" w:rsidP="005F0BD5">
            <w:r w:rsidRPr="00E12A9A">
              <w:t>(Ing. Martin Chovanec, PhD.)</w:t>
            </w:r>
          </w:p>
        </w:tc>
        <w:tc>
          <w:tcPr>
            <w:tcW w:w="7830" w:type="dxa"/>
          </w:tcPr>
          <w:p w:rsidR="00204800" w:rsidRDefault="00204800" w:rsidP="00204800">
            <w:pPr>
              <w:rPr>
                <w:u w:val="single"/>
              </w:rPr>
            </w:pPr>
            <w:r w:rsidRPr="00204800">
              <w:rPr>
                <w:u w:val="single"/>
              </w:rPr>
              <w:t>V</w:t>
            </w:r>
            <w:r>
              <w:rPr>
                <w:u w:val="single"/>
              </w:rPr>
              <w:t>ecný pokrok v realizácii aktivity:</w:t>
            </w:r>
          </w:p>
          <w:p w:rsidR="00204800" w:rsidRDefault="00204800" w:rsidP="00717D64"/>
          <w:p w:rsidR="00204800" w:rsidRDefault="00204800" w:rsidP="00204800">
            <w:pPr>
              <w:rPr>
                <w:u w:val="single"/>
              </w:rPr>
            </w:pPr>
            <w:r w:rsidRPr="00204800">
              <w:rPr>
                <w:u w:val="single"/>
              </w:rPr>
              <w:t>Súčasný stav verejného obstarávania:</w:t>
            </w:r>
          </w:p>
          <w:p w:rsidR="00204800" w:rsidRDefault="00204800" w:rsidP="005F0BD5"/>
          <w:p w:rsidR="0065201F" w:rsidRDefault="00204800" w:rsidP="005F0BD5">
            <w:pPr>
              <w:rPr>
                <w:u w:val="single"/>
              </w:rPr>
            </w:pPr>
            <w:r w:rsidRPr="00204800">
              <w:rPr>
                <w:u w:val="single"/>
              </w:rPr>
              <w:t>P</w:t>
            </w:r>
            <w:r w:rsidR="00647E2E" w:rsidRPr="00204800">
              <w:rPr>
                <w:u w:val="single"/>
              </w:rPr>
              <w:t>okrok v dodaní tovarov a</w:t>
            </w:r>
            <w:r w:rsidRPr="00204800">
              <w:rPr>
                <w:u w:val="single"/>
              </w:rPr>
              <w:t> </w:t>
            </w:r>
            <w:r w:rsidR="00647E2E" w:rsidRPr="00204800">
              <w:rPr>
                <w:u w:val="single"/>
              </w:rPr>
              <w:t>služieb</w:t>
            </w:r>
            <w:r w:rsidRPr="00204800">
              <w:rPr>
                <w:u w:val="single"/>
              </w:rPr>
              <w:t>:</w:t>
            </w:r>
          </w:p>
          <w:p w:rsidR="00204800" w:rsidRPr="00204800" w:rsidRDefault="00204800" w:rsidP="005F0BD5">
            <w:pPr>
              <w:rPr>
                <w:u w:val="single"/>
              </w:rPr>
            </w:pPr>
          </w:p>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lastRenderedPageBreak/>
              <w:t>A</w:t>
            </w:r>
            <w:r w:rsidRPr="00204800">
              <w:rPr>
                <w:u w:val="single"/>
              </w:rPr>
              <w:t>k je realizácia aktivít v omeškaní, je potrebné uviesť dôvody omeškania a aké boli prijaté opatrenia:</w:t>
            </w:r>
          </w:p>
          <w:p w:rsidR="00647E2E" w:rsidRDefault="00647E2E" w:rsidP="005F0BD5"/>
        </w:tc>
      </w:tr>
      <w:tr w:rsidR="0065201F" w:rsidTr="003272E8">
        <w:tc>
          <w:tcPr>
            <w:tcW w:w="2660" w:type="dxa"/>
            <w:shd w:val="clear" w:color="auto" w:fill="9BD4F9" w:themeFill="background2" w:themeFillShade="E6"/>
          </w:tcPr>
          <w:p w:rsidR="0065201F" w:rsidRDefault="006D6EB3" w:rsidP="005F0BD5">
            <w:r w:rsidRPr="006D6EB3">
              <w:lastRenderedPageBreak/>
              <w:t>Aktivita 2.3 Nadstavba, zateplenie a modernizácia časti UVP TECHNICOM na Jesennej 5 v</w:t>
            </w:r>
            <w:r w:rsidR="00E12A9A">
              <w:t> </w:t>
            </w:r>
            <w:r w:rsidRPr="006D6EB3">
              <w:t>Košiciach</w:t>
            </w:r>
          </w:p>
          <w:p w:rsidR="00E12A9A" w:rsidRDefault="00E12A9A" w:rsidP="005F0BD5">
            <w:r w:rsidRPr="00E12A9A">
              <w:t>(doc. RNDr. Gabriel Semanišin, PhD.)</w:t>
            </w:r>
          </w:p>
        </w:tc>
        <w:tc>
          <w:tcPr>
            <w:tcW w:w="7830" w:type="dxa"/>
          </w:tcPr>
          <w:p w:rsidR="00204800" w:rsidRPr="00B144F0" w:rsidRDefault="00204800" w:rsidP="00204800">
            <w:r w:rsidRPr="00204800">
              <w:rPr>
                <w:u w:val="single"/>
              </w:rPr>
              <w:t>V</w:t>
            </w:r>
            <w:r>
              <w:rPr>
                <w:u w:val="single"/>
              </w:rPr>
              <w:t>ecný pokrok v realizácii aktivity:</w:t>
            </w:r>
          </w:p>
          <w:p w:rsidR="00B144F0" w:rsidRPr="00B144F0" w:rsidRDefault="00B144F0" w:rsidP="00204800">
            <w:r w:rsidRPr="00B144F0">
              <w:t>Začiatkom apríla prebehli prípravné práce týkajúce sa zabezpečenia vstupu na stavenisko</w:t>
            </w:r>
            <w:r>
              <w:t>, zabezpečenia vnútorných priestorov, ochrany klimatizačných jednotiek a pod. Stavenisko bolo dňa 10.4.2015 objednávateľom odovzdané a zhotoviteľom prevzaté o čom bol spísaný zápis o prevzatí staveniska.</w:t>
            </w:r>
            <w:r w:rsidR="005B17D5">
              <w:t xml:space="preserve"> 13.4.2015 začali prvé prípravné práce, boli dovezené unimobunky, bolo zabezpečené pripojenie na energie a začalo sa s demoláciou vnútorných priečok v objekte.</w:t>
            </w:r>
          </w:p>
          <w:p w:rsidR="00204800" w:rsidRPr="00B144F0" w:rsidRDefault="00204800" w:rsidP="00717D64"/>
          <w:p w:rsidR="00204800" w:rsidRPr="005B17D5" w:rsidRDefault="00204800" w:rsidP="00204800">
            <w:r w:rsidRPr="00204800">
              <w:rPr>
                <w:u w:val="single"/>
              </w:rPr>
              <w:t>Súčasný stav verejného obstarávania:</w:t>
            </w:r>
            <w:r w:rsidR="005B17D5" w:rsidRPr="005B17D5">
              <w:t xml:space="preserve"> VO</w:t>
            </w:r>
            <w:r w:rsidR="005B17D5">
              <w:t xml:space="preserve"> je ukončené</w:t>
            </w:r>
          </w:p>
          <w:p w:rsidR="00204800" w:rsidRPr="005B17D5" w:rsidRDefault="00204800" w:rsidP="005F0BD5"/>
          <w:p w:rsidR="00204800" w:rsidRPr="005B17D5" w:rsidRDefault="00204800" w:rsidP="00204800">
            <w:r w:rsidRPr="00204800">
              <w:rPr>
                <w:u w:val="single"/>
              </w:rPr>
              <w:t>Pokrok v stavebných činnostiach:</w:t>
            </w:r>
            <w:r w:rsidR="005B17D5" w:rsidRPr="005B17D5">
              <w:t xml:space="preserve"> Stavebné činnosti sa začali reali</w:t>
            </w:r>
            <w:r w:rsidR="005B17D5">
              <w:t>z</w:t>
            </w:r>
            <w:r w:rsidR="005B17D5" w:rsidRPr="005B17D5">
              <w:t>ovať</w:t>
            </w:r>
            <w:r w:rsidR="005B17D5">
              <w:t xml:space="preserve"> – pripojenie zhotoviteľa na energie, začiatok realizácie búracích prác.</w:t>
            </w:r>
          </w:p>
          <w:p w:rsidR="00204800" w:rsidRPr="005B17D5" w:rsidRDefault="00204800" w:rsidP="00204800">
            <w:pPr>
              <w:rPr>
                <w:u w:val="single"/>
              </w:rPr>
            </w:pPr>
          </w:p>
          <w:p w:rsidR="00204800" w:rsidRPr="005B17D5" w:rsidRDefault="00204800" w:rsidP="00204800">
            <w:r>
              <w:rPr>
                <w:u w:val="single"/>
              </w:rPr>
              <w:t>R</w:t>
            </w:r>
            <w:r w:rsidRPr="00204800">
              <w:rPr>
                <w:u w:val="single"/>
              </w:rPr>
              <w:t>izikové oblasti:</w:t>
            </w:r>
            <w:r w:rsidR="005B17D5" w:rsidRPr="005B17D5">
              <w:t xml:space="preserve"> nedodržanie harmonogramu prác</w:t>
            </w:r>
          </w:p>
          <w:p w:rsidR="00204800" w:rsidRPr="005B17D5" w:rsidRDefault="00204800" w:rsidP="005F0BD5"/>
          <w:p w:rsidR="00204800" w:rsidRPr="008E5B06" w:rsidRDefault="00204800" w:rsidP="00204800">
            <w:r>
              <w:rPr>
                <w:u w:val="single"/>
              </w:rPr>
              <w:t>A</w:t>
            </w:r>
            <w:r w:rsidRPr="00204800">
              <w:rPr>
                <w:u w:val="single"/>
              </w:rPr>
              <w:t>k je realizácia aktivít v omeškaní, je potrebné uviesť dôvody omeškania a aké boli prijaté opatrenia:</w:t>
            </w:r>
            <w:r w:rsidR="008E5B06" w:rsidRPr="008E5B06">
              <w:t xml:space="preserve"> </w:t>
            </w:r>
            <w:r w:rsidR="008E5B06">
              <w:t>Bol prepracovaný predbežný harmonogram stavebných prác tak, aby bola stavba ukončená a skolaudovaná do konca projektu.</w:t>
            </w:r>
            <w:r w:rsidR="008E5B06" w:rsidRPr="008E5B06">
              <w:t xml:space="preserve"> </w:t>
            </w:r>
          </w:p>
          <w:p w:rsidR="00647E2E" w:rsidRPr="008E5B06" w:rsidRDefault="00647E2E" w:rsidP="005F0BD5"/>
          <w:p w:rsidR="00755127" w:rsidRDefault="00755127" w:rsidP="005F0BD5">
            <w:r w:rsidRPr="00755127">
              <w:t>(Fotodokumentácia</w:t>
            </w:r>
            <w:r>
              <w:t xml:space="preserve"> aktuálneho stavu)</w:t>
            </w:r>
          </w:p>
        </w:tc>
      </w:tr>
      <w:tr w:rsidR="0065201F" w:rsidTr="003272E8">
        <w:tc>
          <w:tcPr>
            <w:tcW w:w="2660" w:type="dxa"/>
            <w:shd w:val="clear" w:color="auto" w:fill="9BD4F9" w:themeFill="background2" w:themeFillShade="E6"/>
          </w:tcPr>
          <w:p w:rsidR="0065201F" w:rsidRDefault="006D6EB3" w:rsidP="005F0BD5">
            <w:r w:rsidRPr="006D6EB3">
              <w:t>Aktivita 2.4  Vybavenie UVP TECHNICOM Jesenná 5 infraštruktúrou potrebnou k realizácii aplikovaného výskumu</w:t>
            </w:r>
          </w:p>
          <w:p w:rsidR="00E12A9A" w:rsidRDefault="00E12A9A" w:rsidP="005F0BD5">
            <w:r w:rsidRPr="00E12A9A">
              <w:t>(doc. RNDr. Gabriel Semanišin, PhD.)</w:t>
            </w:r>
          </w:p>
        </w:tc>
        <w:tc>
          <w:tcPr>
            <w:tcW w:w="7830" w:type="dxa"/>
          </w:tcPr>
          <w:p w:rsidR="00204800" w:rsidRPr="00D84404" w:rsidRDefault="00204800" w:rsidP="00204800">
            <w:r w:rsidRPr="00204800">
              <w:rPr>
                <w:u w:val="single"/>
              </w:rPr>
              <w:t>V</w:t>
            </w:r>
            <w:r>
              <w:rPr>
                <w:u w:val="single"/>
              </w:rPr>
              <w:t>ecný pokrok v realizácii aktivity:</w:t>
            </w:r>
            <w:r w:rsidR="00D84404" w:rsidRPr="00D84404">
              <w:t xml:space="preserve"> </w:t>
            </w:r>
            <w:r w:rsidR="00D84404">
              <w:t xml:space="preserve">Dodávateľovi boli zaslané ďalšie objednávky </w:t>
            </w:r>
            <w:r w:rsidR="00D84404" w:rsidRPr="00D84404">
              <w:t xml:space="preserve">na dodávku IKT a softvéru v celkovej hodnote </w:t>
            </w:r>
            <w:r w:rsidR="00D84404">
              <w:t>214</w:t>
            </w:r>
            <w:r w:rsidR="00D84404" w:rsidRPr="00D84404">
              <w:t xml:space="preserve"> </w:t>
            </w:r>
            <w:r w:rsidR="00D84404">
              <w:t>361</w:t>
            </w:r>
            <w:r w:rsidR="00D84404" w:rsidRPr="00D84404">
              <w:t>,- €</w:t>
            </w:r>
            <w:r w:rsidR="00D84404">
              <w:t xml:space="preserve"> a boli dodané prvé zariadenia v celkovej hodnote 77 627,- €</w:t>
            </w:r>
            <w:r w:rsidR="00D84404" w:rsidRPr="00D84404">
              <w:t xml:space="preserve">. </w:t>
            </w:r>
            <w:r w:rsidR="00E943B5">
              <w:t>V</w:t>
            </w:r>
            <w:r w:rsidR="00D84404" w:rsidRPr="00D84404">
              <w:t xml:space="preserve"> spolupráci s dodávateľom pripravené vyhlásenia o nedostupnosti tovaru pre položky</w:t>
            </w:r>
            <w:r w:rsidR="00E943B5">
              <w:t xml:space="preserve">, </w:t>
            </w:r>
            <w:r w:rsidR="00D84404" w:rsidRPr="00D84404">
              <w:t>ktoré nie sú dostupné na trhu z dôvodu ukončenia ich výroby.</w:t>
            </w:r>
          </w:p>
          <w:p w:rsidR="00204800" w:rsidRPr="00D84404" w:rsidRDefault="00204800" w:rsidP="00717D64"/>
          <w:p w:rsidR="00204800" w:rsidRDefault="00204800" w:rsidP="00204800">
            <w:pPr>
              <w:rPr>
                <w:u w:val="single"/>
              </w:rPr>
            </w:pPr>
            <w:r w:rsidRPr="00204800">
              <w:rPr>
                <w:u w:val="single"/>
              </w:rPr>
              <w:t>Súčasný stav verejného obstarávania:</w:t>
            </w:r>
            <w:r w:rsidR="00E943B5" w:rsidRPr="00E943B5">
              <w:t xml:space="preserve"> VO je ukončené</w:t>
            </w:r>
          </w:p>
          <w:p w:rsidR="00204800" w:rsidRDefault="00204800" w:rsidP="00647E2E"/>
          <w:p w:rsidR="00204800" w:rsidRPr="00E943B5" w:rsidRDefault="00204800" w:rsidP="00204800">
            <w:r w:rsidRPr="00204800">
              <w:rPr>
                <w:u w:val="single"/>
              </w:rPr>
              <w:t>Pokrok v dodaní tovarov a služieb:</w:t>
            </w:r>
            <w:r w:rsidR="00E943B5">
              <w:t xml:space="preserve"> vystavené ďalšie objednávky, dodané zariadenia v celkovej hodnote 77 627,- €. </w:t>
            </w:r>
          </w:p>
          <w:p w:rsidR="00204800" w:rsidRDefault="00204800" w:rsidP="00204800">
            <w:pPr>
              <w:rPr>
                <w:u w:val="single"/>
              </w:rPr>
            </w:pPr>
          </w:p>
          <w:p w:rsidR="00204800" w:rsidRPr="00204800" w:rsidRDefault="00204800" w:rsidP="00204800">
            <w:pPr>
              <w:rPr>
                <w:u w:val="single"/>
              </w:rPr>
            </w:pPr>
            <w:r>
              <w:rPr>
                <w:u w:val="single"/>
              </w:rPr>
              <w:t>R</w:t>
            </w:r>
            <w:r w:rsidRPr="00204800">
              <w:rPr>
                <w:u w:val="single"/>
              </w:rPr>
              <w:t>izikové oblasti:</w:t>
            </w:r>
            <w:r w:rsidR="00FF13F3" w:rsidRPr="00FF13F3">
              <w:t xml:space="preserve"> Nedostupnosť špecifikovaných tovarov na trhu v požadovanom množstve. Umiestnenie centrálneho výpočtového uzla je plánované do serverovne v  časti budovy kde je plánovaná rekonštrukcia v rámci projektu. Vzhľadom na meškanie stavebných prác možno budeme musieť hľadať alternatívne umiestnenie.</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r w:rsidR="00E943B5" w:rsidRPr="00E943B5">
              <w:t xml:space="preserve"> Opakovanie VO.</w:t>
            </w:r>
          </w:p>
          <w:p w:rsidR="00EA150F" w:rsidRDefault="00EA150F" w:rsidP="005F0BD5"/>
        </w:tc>
      </w:tr>
      <w:tr w:rsidR="00EA150F" w:rsidTr="003272E8">
        <w:tc>
          <w:tcPr>
            <w:tcW w:w="2660" w:type="dxa"/>
            <w:shd w:val="clear" w:color="auto" w:fill="9BD4F9" w:themeFill="background2" w:themeFillShade="E6"/>
          </w:tcPr>
          <w:p w:rsidR="00EA150F" w:rsidRDefault="006D6EB3" w:rsidP="005F0BD5">
            <w:r w:rsidRPr="006D6EB3">
              <w:t xml:space="preserve">Aktivita 2.5 Výstavba nových výskumných priestorov partnera Prešovská univerzita </w:t>
            </w:r>
            <w:r w:rsidR="00E12A9A">
              <w:t>–</w:t>
            </w:r>
            <w:r w:rsidRPr="006D6EB3">
              <w:t xml:space="preserve"> UNIPOLAB</w:t>
            </w:r>
          </w:p>
          <w:p w:rsidR="00E12A9A" w:rsidRDefault="00E12A9A" w:rsidP="005F0BD5">
            <w:r w:rsidRPr="00E12A9A">
              <w:t>(doc. Ing. Peter Adamišin, PhD)</w:t>
            </w:r>
          </w:p>
        </w:tc>
        <w:tc>
          <w:tcPr>
            <w:tcW w:w="7830" w:type="dxa"/>
          </w:tcPr>
          <w:p w:rsidR="00204800" w:rsidRDefault="00204800" w:rsidP="00204800">
            <w:pPr>
              <w:rPr>
                <w:u w:val="single"/>
              </w:rPr>
            </w:pPr>
            <w:r w:rsidRPr="00204800">
              <w:rPr>
                <w:u w:val="single"/>
              </w:rPr>
              <w:t>V</w:t>
            </w:r>
            <w:r>
              <w:rPr>
                <w:u w:val="single"/>
              </w:rPr>
              <w:t>ecný pokrok v realizácii aktivity:</w:t>
            </w:r>
          </w:p>
          <w:p w:rsidR="00204800" w:rsidRDefault="00204800" w:rsidP="00717D64"/>
          <w:p w:rsidR="00204800" w:rsidRDefault="00204800" w:rsidP="00204800">
            <w:pPr>
              <w:rPr>
                <w:u w:val="single"/>
              </w:rPr>
            </w:pPr>
            <w:r w:rsidRPr="00204800">
              <w:rPr>
                <w:u w:val="single"/>
              </w:rPr>
              <w:t>Súčasný stav verejného obstarávania:</w:t>
            </w:r>
          </w:p>
          <w:p w:rsidR="00204800" w:rsidRDefault="00204800" w:rsidP="005F0BD5"/>
          <w:p w:rsidR="00204800" w:rsidRPr="00204800" w:rsidRDefault="00204800" w:rsidP="00204800">
            <w:pPr>
              <w:rPr>
                <w:u w:val="single"/>
              </w:rPr>
            </w:pPr>
            <w:r w:rsidRPr="00204800">
              <w:rPr>
                <w:u w:val="single"/>
              </w:rPr>
              <w:t>Pokrok v stavebných činnostiach:</w:t>
            </w:r>
          </w:p>
          <w:p w:rsidR="00204800" w:rsidRDefault="00204800" w:rsidP="00204800">
            <w:pPr>
              <w:rPr>
                <w:u w:val="single"/>
              </w:rPr>
            </w:pPr>
          </w:p>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lastRenderedPageBreak/>
              <w:t>A</w:t>
            </w:r>
            <w:r w:rsidRPr="00204800">
              <w:rPr>
                <w:u w:val="single"/>
              </w:rPr>
              <w:t>k je realizácia aktivít v omeškaní, je potrebné uviesť dôvody omeškania a aké boli prijaté opatrenia:</w:t>
            </w:r>
          </w:p>
          <w:p w:rsidR="00647E2E" w:rsidRDefault="00647E2E" w:rsidP="005F0BD5"/>
          <w:p w:rsidR="00755127" w:rsidRDefault="00755127" w:rsidP="005F0BD5">
            <w:r w:rsidRPr="00755127">
              <w:t>(Fotodokumentácia</w:t>
            </w:r>
            <w:r>
              <w:t xml:space="preserve"> aktuálneho stavu)</w:t>
            </w:r>
          </w:p>
        </w:tc>
      </w:tr>
      <w:tr w:rsidR="0065201F" w:rsidTr="003272E8">
        <w:tc>
          <w:tcPr>
            <w:tcW w:w="2660" w:type="dxa"/>
            <w:shd w:val="clear" w:color="auto" w:fill="9BD4F9" w:themeFill="background2" w:themeFillShade="E6"/>
          </w:tcPr>
          <w:p w:rsidR="0065201F" w:rsidRDefault="006D6EB3" w:rsidP="005F0BD5">
            <w:r w:rsidRPr="006D6EB3">
              <w:lastRenderedPageBreak/>
              <w:t>Aktivita 2.6  Vybavenie priestorov partnera PU nevyhnutnou prístrojovou, laboratórnou a IKT infraštruktúrou</w:t>
            </w:r>
          </w:p>
          <w:p w:rsidR="00E12A9A" w:rsidRDefault="00E12A9A" w:rsidP="005F0BD5">
            <w:r w:rsidRPr="00E12A9A">
              <w:t>(doc. Ing. Peter Adamišin, PhD)</w:t>
            </w:r>
          </w:p>
        </w:tc>
        <w:tc>
          <w:tcPr>
            <w:tcW w:w="7830" w:type="dxa"/>
          </w:tcPr>
          <w:p w:rsidR="00204800" w:rsidRDefault="00204800" w:rsidP="00204800">
            <w:pPr>
              <w:rPr>
                <w:u w:val="single"/>
              </w:rPr>
            </w:pPr>
            <w:r w:rsidRPr="00204800">
              <w:rPr>
                <w:u w:val="single"/>
              </w:rPr>
              <w:t>V</w:t>
            </w:r>
            <w:r>
              <w:rPr>
                <w:u w:val="single"/>
              </w:rPr>
              <w:t>ecný pokrok v realizácii aktivity:</w:t>
            </w:r>
          </w:p>
          <w:p w:rsidR="00204800" w:rsidRDefault="00204800" w:rsidP="00717D64"/>
          <w:p w:rsidR="00204800" w:rsidRDefault="00204800" w:rsidP="00204800">
            <w:pPr>
              <w:rPr>
                <w:u w:val="single"/>
              </w:rPr>
            </w:pPr>
            <w:r w:rsidRPr="00204800">
              <w:rPr>
                <w:u w:val="single"/>
              </w:rPr>
              <w:t>Súčasný stav verejného obstarávania:</w:t>
            </w:r>
          </w:p>
          <w:p w:rsidR="00204800" w:rsidRDefault="00204800" w:rsidP="00647E2E"/>
          <w:p w:rsidR="00204800" w:rsidRDefault="00204800" w:rsidP="00204800">
            <w:pPr>
              <w:rPr>
                <w:u w:val="single"/>
              </w:rPr>
            </w:pPr>
            <w:r w:rsidRPr="00204800">
              <w:rPr>
                <w:u w:val="single"/>
              </w:rPr>
              <w:t>Pokrok v dodaní tovarov a služieb:</w:t>
            </w:r>
          </w:p>
          <w:p w:rsidR="00204800" w:rsidRDefault="00204800" w:rsidP="00204800">
            <w:pPr>
              <w:rPr>
                <w:u w:val="single"/>
              </w:rPr>
            </w:pPr>
          </w:p>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EA150F" w:rsidRDefault="00EA150F" w:rsidP="005F0BD5"/>
        </w:tc>
      </w:tr>
      <w:tr w:rsidR="0065201F" w:rsidTr="003272E8">
        <w:tc>
          <w:tcPr>
            <w:tcW w:w="2660" w:type="dxa"/>
            <w:tcBorders>
              <w:bottom w:val="single" w:sz="4" w:space="0" w:color="auto"/>
            </w:tcBorders>
            <w:shd w:val="clear" w:color="auto" w:fill="9BD4F9" w:themeFill="background2" w:themeFillShade="E6"/>
          </w:tcPr>
          <w:p w:rsidR="0065201F" w:rsidRDefault="006D6EB3" w:rsidP="005F0BD5">
            <w:r w:rsidRPr="006D6EB3">
              <w:t>Aktivita 3.1 Pilotné projekty v odbore  Informačné a komunikačné technológie</w:t>
            </w:r>
          </w:p>
          <w:p w:rsidR="00E12A9A" w:rsidRDefault="00E12A9A" w:rsidP="005F0BD5">
            <w:r w:rsidRPr="00E12A9A">
              <w:t>(doc. Ing. František Jakab, CSc.)</w:t>
            </w:r>
          </w:p>
        </w:tc>
        <w:tc>
          <w:tcPr>
            <w:tcW w:w="7830" w:type="dxa"/>
            <w:tcBorders>
              <w:bottom w:val="single" w:sz="4" w:space="0" w:color="auto"/>
            </w:tcBorders>
          </w:tcPr>
          <w:p w:rsidR="00204800" w:rsidRDefault="00204800" w:rsidP="00204800">
            <w:pPr>
              <w:rPr>
                <w:u w:val="single"/>
              </w:rPr>
            </w:pPr>
            <w:r w:rsidRPr="00204800">
              <w:rPr>
                <w:u w:val="single"/>
              </w:rPr>
              <w:t>V</w:t>
            </w:r>
            <w:r>
              <w:rPr>
                <w:u w:val="single"/>
              </w:rPr>
              <w:t>ecný pokrok v realizácii aktivity podľa PP:</w:t>
            </w:r>
          </w:p>
          <w:p w:rsidR="00204800" w:rsidRDefault="00204800" w:rsidP="005F0BD5"/>
          <w:p w:rsidR="0018056B" w:rsidRDefault="0018056B" w:rsidP="0018056B">
            <w:pPr>
              <w:rPr>
                <w:u w:val="single"/>
              </w:rPr>
            </w:pPr>
            <w:r w:rsidRPr="00204800">
              <w:rPr>
                <w:u w:val="single"/>
              </w:rPr>
              <w:t>Stručný popis pokroku vo výskumných činnostiach</w:t>
            </w:r>
            <w:r>
              <w:rPr>
                <w:u w:val="single"/>
              </w:rPr>
              <w:t xml:space="preserve"> podľa PP</w:t>
            </w:r>
            <w:r w:rsidRPr="00204800">
              <w:rPr>
                <w:u w:val="single"/>
              </w:rPr>
              <w:t>:</w:t>
            </w:r>
          </w:p>
          <w:p w:rsidR="00204800" w:rsidRPr="00204800" w:rsidRDefault="00204800" w:rsidP="005F0BD5">
            <w:pPr>
              <w:rPr>
                <w:u w:val="single"/>
              </w:rPr>
            </w:pPr>
          </w:p>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tc>
      </w:tr>
      <w:tr w:rsidR="006D6EB3" w:rsidTr="003272E8">
        <w:tc>
          <w:tcPr>
            <w:tcW w:w="2660" w:type="dxa"/>
            <w:tcBorders>
              <w:bottom w:val="single" w:sz="4" w:space="0" w:color="auto"/>
            </w:tcBorders>
            <w:shd w:val="clear" w:color="auto" w:fill="9BD4F9" w:themeFill="background2" w:themeFillShade="E6"/>
          </w:tcPr>
          <w:p w:rsidR="006D6EB3" w:rsidRDefault="006D6EB3" w:rsidP="005F0BD5">
            <w:r w:rsidRPr="006D6EB3">
              <w:t>Aktivita 3.2 Pilotné projekty v odbore Elektrotechnika, automatizácia a riadiace systémy</w:t>
            </w:r>
          </w:p>
          <w:p w:rsidR="00E12A9A" w:rsidRDefault="00E12A9A" w:rsidP="005F0BD5">
            <w:r w:rsidRPr="00E12A9A">
              <w:t>(prof. Ing. AlenaPietriková, CSc.)</w:t>
            </w:r>
          </w:p>
        </w:tc>
        <w:tc>
          <w:tcPr>
            <w:tcW w:w="7830" w:type="dxa"/>
            <w:tcBorders>
              <w:bottom w:val="single" w:sz="4" w:space="0" w:color="auto"/>
            </w:tcBorders>
          </w:tcPr>
          <w:p w:rsidR="00204800" w:rsidRDefault="00204800" w:rsidP="00204800">
            <w:pPr>
              <w:rPr>
                <w:u w:val="single"/>
              </w:rPr>
            </w:pPr>
            <w:r w:rsidRPr="00204800">
              <w:rPr>
                <w:u w:val="single"/>
              </w:rPr>
              <w:t>V</w:t>
            </w:r>
            <w:r>
              <w:rPr>
                <w:u w:val="single"/>
              </w:rPr>
              <w:t>ecný pokrok v realizácii aktivity podľa PP:</w:t>
            </w:r>
          </w:p>
          <w:p w:rsidR="00204800" w:rsidRDefault="00204800" w:rsidP="00647E2E"/>
          <w:p w:rsidR="0018056B" w:rsidRDefault="0018056B" w:rsidP="0018056B">
            <w:pPr>
              <w:rPr>
                <w:u w:val="single"/>
              </w:rPr>
            </w:pPr>
            <w:r w:rsidRPr="00204800">
              <w:rPr>
                <w:u w:val="single"/>
              </w:rPr>
              <w:t>Stručný popis pokroku vo výskumných činnostiach</w:t>
            </w:r>
            <w:r>
              <w:rPr>
                <w:u w:val="single"/>
              </w:rPr>
              <w:t xml:space="preserve"> podľa PP</w:t>
            </w:r>
            <w:r w:rsidRPr="00204800">
              <w:rPr>
                <w:u w:val="single"/>
              </w:rPr>
              <w:t>:</w:t>
            </w:r>
          </w:p>
          <w:p w:rsidR="00204800" w:rsidRDefault="00204800" w:rsidP="00204800">
            <w:pPr>
              <w:rPr>
                <w:u w:val="single"/>
              </w:rPr>
            </w:pPr>
          </w:p>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tc>
      </w:tr>
      <w:tr w:rsidR="006D6EB3" w:rsidTr="003272E8">
        <w:tc>
          <w:tcPr>
            <w:tcW w:w="2660" w:type="dxa"/>
            <w:tcBorders>
              <w:bottom w:val="single" w:sz="4" w:space="0" w:color="auto"/>
            </w:tcBorders>
            <w:shd w:val="clear" w:color="auto" w:fill="9BD4F9" w:themeFill="background2" w:themeFillShade="E6"/>
          </w:tcPr>
          <w:p w:rsidR="006D6EB3" w:rsidRDefault="006D6EB3" w:rsidP="005F0BD5">
            <w:r w:rsidRPr="006D6EB3">
              <w:t>Aktivita 3.3 Pilotné projekty v odbore Strojárstvo</w:t>
            </w:r>
          </w:p>
          <w:p w:rsidR="00E12A9A" w:rsidRDefault="00E12A9A" w:rsidP="005F0BD5">
            <w:r w:rsidRPr="00E12A9A">
              <w:t>(Dr.h.c.prof.Ing.Miroslav Badida)</w:t>
            </w:r>
          </w:p>
        </w:tc>
        <w:tc>
          <w:tcPr>
            <w:tcW w:w="7830" w:type="dxa"/>
            <w:tcBorders>
              <w:bottom w:val="single" w:sz="4" w:space="0" w:color="auto"/>
            </w:tcBorders>
          </w:tcPr>
          <w:p w:rsidR="00204800" w:rsidRDefault="00204800" w:rsidP="00204800">
            <w:pPr>
              <w:rPr>
                <w:u w:val="single"/>
              </w:rPr>
            </w:pPr>
            <w:r w:rsidRPr="00204800">
              <w:rPr>
                <w:u w:val="single"/>
              </w:rPr>
              <w:t>V</w:t>
            </w:r>
            <w:r>
              <w:rPr>
                <w:u w:val="single"/>
              </w:rPr>
              <w:t>ecný pokrok v realizácii aktivity podľa PP:</w:t>
            </w:r>
          </w:p>
          <w:p w:rsidR="00204800" w:rsidRDefault="00204800" w:rsidP="00647E2E"/>
          <w:p w:rsidR="0018056B" w:rsidRDefault="0018056B" w:rsidP="0018056B">
            <w:pPr>
              <w:rPr>
                <w:u w:val="single"/>
              </w:rPr>
            </w:pPr>
            <w:r w:rsidRPr="00204800">
              <w:rPr>
                <w:u w:val="single"/>
              </w:rPr>
              <w:t>Stručný popis pokroku vo výskumných činnostiach</w:t>
            </w:r>
            <w:r>
              <w:rPr>
                <w:u w:val="single"/>
              </w:rPr>
              <w:t xml:space="preserve"> podľa PP</w:t>
            </w:r>
            <w:r w:rsidRPr="00204800">
              <w:rPr>
                <w:u w:val="single"/>
              </w:rPr>
              <w:t>:</w:t>
            </w:r>
          </w:p>
          <w:p w:rsidR="00204800" w:rsidRDefault="00204800" w:rsidP="00204800">
            <w:pPr>
              <w:rPr>
                <w:u w:val="single"/>
              </w:rPr>
            </w:pPr>
          </w:p>
          <w:p w:rsidR="00204800" w:rsidRPr="00204800" w:rsidRDefault="00204800" w:rsidP="00204800">
            <w:pPr>
              <w:rPr>
                <w:u w:val="single"/>
              </w:rPr>
            </w:pPr>
            <w:r>
              <w:rPr>
                <w:u w:val="single"/>
              </w:rPr>
              <w:t>D</w:t>
            </w:r>
            <w:r w:rsidRPr="00204800">
              <w:rPr>
                <w:u w:val="single"/>
              </w:rPr>
              <w:t>osiahnuté výsledky aktivity:</w:t>
            </w:r>
          </w:p>
          <w:p w:rsidR="00647E2E" w:rsidRDefault="00647E2E" w:rsidP="00647E2E"/>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tc>
      </w:tr>
      <w:tr w:rsidR="006D6EB3" w:rsidTr="003272E8">
        <w:tc>
          <w:tcPr>
            <w:tcW w:w="2660" w:type="dxa"/>
            <w:tcBorders>
              <w:bottom w:val="single" w:sz="4" w:space="0" w:color="auto"/>
            </w:tcBorders>
            <w:shd w:val="clear" w:color="auto" w:fill="9BD4F9" w:themeFill="background2" w:themeFillShade="E6"/>
          </w:tcPr>
          <w:p w:rsidR="006D6EB3" w:rsidRDefault="006D6EB3" w:rsidP="005F0BD5">
            <w:r w:rsidRPr="006D6EB3">
              <w:t xml:space="preserve">Aktivita 3.4 Pilotné projekty v odbore </w:t>
            </w:r>
            <w:r w:rsidRPr="006D6EB3">
              <w:lastRenderedPageBreak/>
              <w:t>Stavebné inžinierstvo</w:t>
            </w:r>
          </w:p>
          <w:p w:rsidR="00E12A9A" w:rsidRDefault="00E12A9A" w:rsidP="005F0BD5">
            <w:r w:rsidRPr="00E12A9A">
              <w:t>(prof. Ing. Stanislav Kmeť, CSc.)</w:t>
            </w:r>
          </w:p>
        </w:tc>
        <w:tc>
          <w:tcPr>
            <w:tcW w:w="7830" w:type="dxa"/>
            <w:tcBorders>
              <w:bottom w:val="single" w:sz="4" w:space="0" w:color="auto"/>
            </w:tcBorders>
          </w:tcPr>
          <w:p w:rsidR="00204800" w:rsidRDefault="00204800" w:rsidP="00204800">
            <w:pPr>
              <w:rPr>
                <w:u w:val="single"/>
              </w:rPr>
            </w:pPr>
            <w:r w:rsidRPr="00204800">
              <w:rPr>
                <w:u w:val="single"/>
              </w:rPr>
              <w:lastRenderedPageBreak/>
              <w:t>V</w:t>
            </w:r>
            <w:r>
              <w:rPr>
                <w:u w:val="single"/>
              </w:rPr>
              <w:t>ecný pokrok v realizácii aktivity podľa PP:</w:t>
            </w:r>
          </w:p>
          <w:p w:rsidR="00204800" w:rsidRDefault="00204800" w:rsidP="00647E2E"/>
          <w:p w:rsidR="00204800" w:rsidRDefault="00204800" w:rsidP="00204800">
            <w:pPr>
              <w:rPr>
                <w:u w:val="single"/>
              </w:rPr>
            </w:pPr>
            <w:r w:rsidRPr="00204800">
              <w:rPr>
                <w:u w:val="single"/>
              </w:rPr>
              <w:lastRenderedPageBreak/>
              <w:t>Stručný popis pokroku vo výskumných činnostiach</w:t>
            </w:r>
            <w:r w:rsidR="0018056B">
              <w:rPr>
                <w:u w:val="single"/>
              </w:rPr>
              <w:t xml:space="preserve"> podľa PP</w:t>
            </w:r>
            <w:r w:rsidRPr="00204800">
              <w:rPr>
                <w:u w:val="single"/>
              </w:rPr>
              <w:t>:</w:t>
            </w:r>
          </w:p>
          <w:p w:rsidR="00204800" w:rsidRDefault="00204800" w:rsidP="00204800">
            <w:pPr>
              <w:rPr>
                <w:u w:val="single"/>
              </w:rPr>
            </w:pPr>
          </w:p>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tc>
      </w:tr>
      <w:tr w:rsidR="006D6EB3" w:rsidTr="003272E8">
        <w:tc>
          <w:tcPr>
            <w:tcW w:w="2660" w:type="dxa"/>
            <w:tcBorders>
              <w:bottom w:val="single" w:sz="4" w:space="0" w:color="auto"/>
            </w:tcBorders>
            <w:shd w:val="clear" w:color="auto" w:fill="9BD4F9" w:themeFill="background2" w:themeFillShade="E6"/>
          </w:tcPr>
          <w:p w:rsidR="006D6EB3" w:rsidRDefault="006D6EB3" w:rsidP="005F0BD5">
            <w:r w:rsidRPr="006D6EB3">
              <w:lastRenderedPageBreak/>
              <w:t>Aktivita 3.5 Pilotné projekty v odbore Environmentálne inžinierstvo</w:t>
            </w:r>
          </w:p>
          <w:p w:rsidR="00E12A9A" w:rsidRPr="006D6EB3" w:rsidRDefault="00E12A9A" w:rsidP="005F0BD5">
            <w:r w:rsidRPr="00E12A9A">
              <w:t>(doc. Ing.  Ján Spišák, PhD.)</w:t>
            </w:r>
          </w:p>
        </w:tc>
        <w:tc>
          <w:tcPr>
            <w:tcW w:w="7830" w:type="dxa"/>
            <w:tcBorders>
              <w:bottom w:val="single" w:sz="4" w:space="0" w:color="auto"/>
            </w:tcBorders>
          </w:tcPr>
          <w:p w:rsidR="00204800" w:rsidRDefault="00204800" w:rsidP="00204800">
            <w:pPr>
              <w:rPr>
                <w:u w:val="single"/>
              </w:rPr>
            </w:pPr>
            <w:r w:rsidRPr="00204800">
              <w:rPr>
                <w:u w:val="single"/>
              </w:rPr>
              <w:t>V</w:t>
            </w:r>
            <w:r>
              <w:rPr>
                <w:u w:val="single"/>
              </w:rPr>
              <w:t>ecný pokrok v realizácii aktivity podľa PP:</w:t>
            </w:r>
          </w:p>
          <w:p w:rsidR="00204800" w:rsidRDefault="00204800" w:rsidP="00647E2E"/>
          <w:p w:rsidR="0018056B" w:rsidRDefault="0018056B" w:rsidP="0018056B">
            <w:pPr>
              <w:rPr>
                <w:u w:val="single"/>
              </w:rPr>
            </w:pPr>
            <w:r w:rsidRPr="00204800">
              <w:rPr>
                <w:u w:val="single"/>
              </w:rPr>
              <w:t>Stručný popis pokroku vo výskumných činnostiach</w:t>
            </w:r>
            <w:r>
              <w:rPr>
                <w:u w:val="single"/>
              </w:rPr>
              <w:t xml:space="preserve"> podľa PP</w:t>
            </w:r>
            <w:r w:rsidRPr="00204800">
              <w:rPr>
                <w:u w:val="single"/>
              </w:rPr>
              <w:t>:</w:t>
            </w:r>
          </w:p>
          <w:p w:rsidR="009262DA" w:rsidRDefault="009262DA" w:rsidP="00204800">
            <w:pPr>
              <w:rPr>
                <w:u w:val="single"/>
              </w:rPr>
            </w:pPr>
          </w:p>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tc>
      </w:tr>
      <w:tr w:rsidR="006D6EB3" w:rsidTr="003272E8">
        <w:tc>
          <w:tcPr>
            <w:tcW w:w="2660" w:type="dxa"/>
            <w:tcBorders>
              <w:bottom w:val="single" w:sz="4" w:space="0" w:color="auto"/>
            </w:tcBorders>
            <w:shd w:val="clear" w:color="auto" w:fill="9BD4F9" w:themeFill="background2" w:themeFillShade="E6"/>
          </w:tcPr>
          <w:p w:rsidR="006D6EB3" w:rsidRDefault="006D6EB3" w:rsidP="005F0BD5">
            <w:r w:rsidRPr="006D6EB3">
              <w:t>Aktivita 3.6.  Pilotné projekty UPJŠ v odbore Informačné a komunikačné technológie</w:t>
            </w:r>
          </w:p>
          <w:p w:rsidR="00E12A9A" w:rsidRPr="006D6EB3" w:rsidRDefault="00E12A9A" w:rsidP="005F0BD5">
            <w:r w:rsidRPr="00E12A9A">
              <w:t>(doc. RNDr. Gabriel Semanišin, PhD.)</w:t>
            </w:r>
          </w:p>
        </w:tc>
        <w:tc>
          <w:tcPr>
            <w:tcW w:w="7830" w:type="dxa"/>
            <w:tcBorders>
              <w:bottom w:val="single" w:sz="4" w:space="0" w:color="auto"/>
            </w:tcBorders>
          </w:tcPr>
          <w:p w:rsidR="00204800" w:rsidRDefault="00204800" w:rsidP="00204800">
            <w:pPr>
              <w:rPr>
                <w:u w:val="single"/>
              </w:rPr>
            </w:pPr>
            <w:r w:rsidRPr="00204800">
              <w:rPr>
                <w:u w:val="single"/>
              </w:rPr>
              <w:t>V</w:t>
            </w:r>
            <w:r>
              <w:rPr>
                <w:u w:val="single"/>
              </w:rPr>
              <w:t>ecný pokrok v realizácii aktivity podľa PP:</w:t>
            </w:r>
          </w:p>
          <w:p w:rsidR="0007178F" w:rsidRDefault="0007178F" w:rsidP="0007178F">
            <w:pPr>
              <w:rPr>
                <w:b/>
              </w:rPr>
            </w:pPr>
            <w:r w:rsidRPr="0007178F">
              <w:rPr>
                <w:b/>
              </w:rPr>
              <w:t>PP 1. Aplikovaný výskum v oblasti paralelného a distribuovaného počítania:</w:t>
            </w:r>
          </w:p>
          <w:p w:rsidR="00C142B4" w:rsidRPr="003B4489" w:rsidRDefault="003B4489" w:rsidP="0007178F">
            <w:r w:rsidRPr="003B4489">
              <w:t>Aktivity projektu sú v súlade s plánom a darí sa prezentovať výsledky v zahraničí. Pripravuje sa dohoda o budúcej spolupráci so zahraničným partnerom. V súčasnosti sa jedná o spoločných aktivitách.</w:t>
            </w:r>
          </w:p>
          <w:p w:rsidR="003B4489" w:rsidRPr="003B4489" w:rsidRDefault="003B4489" w:rsidP="0007178F"/>
          <w:p w:rsidR="0007178F" w:rsidRDefault="0007178F" w:rsidP="0007178F">
            <w:pPr>
              <w:rPr>
                <w:b/>
              </w:rPr>
            </w:pPr>
            <w:r w:rsidRPr="001B321B">
              <w:rPr>
                <w:b/>
              </w:rPr>
              <w:t>PP 2. Vývoj nástrojov a metód pre virtuálnu kolaboráciu:</w:t>
            </w:r>
          </w:p>
          <w:p w:rsidR="00762F3E" w:rsidRDefault="00762F3E" w:rsidP="00762F3E">
            <w:r>
              <w:t>SeeVogh(V. Michalčin):</w:t>
            </w:r>
          </w:p>
          <w:p w:rsidR="00762F3E" w:rsidRDefault="00762F3E" w:rsidP="00762F3E">
            <w:pPr>
              <w:pStyle w:val="Odsekzoznamu"/>
              <w:numPr>
                <w:ilvl w:val="0"/>
                <w:numId w:val="2"/>
              </w:numPr>
            </w:pPr>
            <w:r>
              <w:t xml:space="preserve">„Re-branding“ – zmena dizajnu koncových klientskych aplikácií SeeVogh a vytvorenie slovenskej verzia uceleného manuálu. </w:t>
            </w:r>
          </w:p>
          <w:p w:rsidR="00762F3E" w:rsidRDefault="00762F3E" w:rsidP="00762F3E">
            <w:pPr>
              <w:pStyle w:val="Odsekzoznamu"/>
              <w:numPr>
                <w:ilvl w:val="0"/>
                <w:numId w:val="2"/>
              </w:numPr>
            </w:pPr>
            <w:r>
              <w:t>Konverzia textu do reálneho videa.</w:t>
            </w:r>
          </w:p>
          <w:p w:rsidR="00762F3E" w:rsidRDefault="00762F3E" w:rsidP="00762F3E">
            <w:pPr>
              <w:pStyle w:val="Odsekzoznamu"/>
              <w:numPr>
                <w:ilvl w:val="0"/>
                <w:numId w:val="2"/>
              </w:numPr>
            </w:pPr>
            <w:r>
              <w:t>Vylepšenie funkcií univerzálneho prehrávača záznamov.</w:t>
            </w:r>
          </w:p>
          <w:p w:rsidR="00762F3E" w:rsidRDefault="00762F3E" w:rsidP="00762F3E">
            <w:pPr>
              <w:pStyle w:val="Odsekzoznamu"/>
              <w:numPr>
                <w:ilvl w:val="0"/>
                <w:numId w:val="2"/>
              </w:numPr>
            </w:pPr>
            <w:r>
              <w:t xml:space="preserve">Testovanie a odlaďovanie chýb. </w:t>
            </w:r>
          </w:p>
          <w:p w:rsidR="00762F3E" w:rsidRDefault="00762F3E" w:rsidP="00762F3E">
            <w:r>
              <w:t>Portál(P. Murin):</w:t>
            </w:r>
          </w:p>
          <w:p w:rsidR="009C4AE0" w:rsidRDefault="009C4AE0" w:rsidP="009C4AE0">
            <w:r>
              <w:t>Optimalizácia prototypu V-aréna v prostredí reálneho projektu.</w:t>
            </w:r>
            <w:r w:rsidR="00D34B67">
              <w:t xml:space="preserve"> </w:t>
            </w:r>
            <w:r>
              <w:t xml:space="preserve">Prototyp V-aréna sa testuje na reálnej projektovej komunite. Bola vytvorená riešiteľská </w:t>
            </w:r>
            <w:r w:rsidR="00D34B67">
              <w:t xml:space="preserve">a projektová </w:t>
            </w:r>
            <w:r>
              <w:t>komunita. Bolo nastavené optimálne prostredie manažovania projektových aktivít.</w:t>
            </w:r>
          </w:p>
          <w:p w:rsidR="009C4AE0" w:rsidRDefault="009C4AE0" w:rsidP="009C4AE0">
            <w:r>
              <w:t>Výstupom daných aktivít je požiadavka optimalizácie výmennej interakcie v prostredí projektových aktivít</w:t>
            </w:r>
            <w:r w:rsidR="00D34B67">
              <w:t xml:space="preserve"> </w:t>
            </w:r>
            <w:r>
              <w:t>a požiadavka vylepšenia užívateľského rozhrania manažovania úloh v projekte. Na problémoch začal pracovať Dr. Murín a Ing. Domaracký</w:t>
            </w:r>
          </w:p>
          <w:p w:rsidR="00762F3E" w:rsidRDefault="00762F3E" w:rsidP="0007178F">
            <w:pPr>
              <w:rPr>
                <w:b/>
              </w:rPr>
            </w:pPr>
          </w:p>
          <w:p w:rsidR="0007178F" w:rsidRPr="0007178F" w:rsidRDefault="0007178F" w:rsidP="0007178F">
            <w:pPr>
              <w:rPr>
                <w:b/>
              </w:rPr>
            </w:pPr>
            <w:r w:rsidRPr="0007178F">
              <w:rPr>
                <w:b/>
              </w:rPr>
              <w:t>PP 3. Výskum v oblasti inovatívnych interakcií človek-počítač:</w:t>
            </w:r>
          </w:p>
          <w:p w:rsidR="00204800" w:rsidRDefault="0007178F" w:rsidP="0007178F">
            <w:r>
              <w:t>Príprava článku o kontextuálnych efektov pri vnímaní vzdialenosti (Eštočinová, Kopčo)</w:t>
            </w:r>
            <w:r w:rsidR="007C1A60">
              <w:t xml:space="preserve"> </w:t>
            </w:r>
            <w:r>
              <w:t>Príprava University start-ups symposium a konzultácie s prednášajúcimi Seitz-om a Carlile-om o možnostiach start-upov založených na výskume v Laboratóriu vnímania a kognície (Kopčo, Hládek, Tomoriová)</w:t>
            </w:r>
          </w:p>
          <w:p w:rsidR="00C142B4" w:rsidRDefault="00C142B4" w:rsidP="0007178F">
            <w:pPr>
              <w:rPr>
                <w:b/>
              </w:rPr>
            </w:pPr>
          </w:p>
          <w:p w:rsidR="0007178F" w:rsidRDefault="0007178F" w:rsidP="0007178F">
            <w:pPr>
              <w:rPr>
                <w:b/>
              </w:rPr>
            </w:pPr>
            <w:r w:rsidRPr="00434F1F">
              <w:rPr>
                <w:b/>
              </w:rPr>
              <w:t>PP 4. Vývoj informačných systémov pre podporu riadenia vzdelávania, vedy a výskumu:</w:t>
            </w:r>
          </w:p>
          <w:p w:rsidR="00C142B4" w:rsidRPr="00C142B4" w:rsidRDefault="00C142B4" w:rsidP="00C142B4">
            <w:r w:rsidRPr="00C142B4">
              <w:t xml:space="preserve">Vytvorené boli podporné funkcie pri preberaní výsledkov z predchádzajúceho štúdia, </w:t>
            </w:r>
            <w:r w:rsidRPr="00C142B4">
              <w:lastRenderedPageBreak/>
              <w:t xml:space="preserve">v rámci prijímacieho konania, prostredníctvom elektronickej žiackej knižky. Upravili sme proces výpočtu výsledkovej listiny a jej rekurzívneho prepočtu základe preferenčných kritérií. </w:t>
            </w:r>
          </w:p>
          <w:p w:rsidR="00C142B4" w:rsidRPr="00C142B4" w:rsidRDefault="00C142B4" w:rsidP="00C142B4">
            <w:r w:rsidRPr="00C142B4">
              <w:t>Doplnili sme proces elektronickej návratky o nevyhnutné kroky tak aby sme spĺňali literu zákona o spracovaní osobných údajov. Pripravili sme testovací príklad na zber aplikačných metrík pre overenie dostupných nástrojov.</w:t>
            </w:r>
          </w:p>
          <w:p w:rsidR="00C142B4" w:rsidRDefault="00C142B4" w:rsidP="0007178F">
            <w:pPr>
              <w:rPr>
                <w:b/>
              </w:rPr>
            </w:pPr>
          </w:p>
          <w:p w:rsidR="0007178F" w:rsidRDefault="0007178F" w:rsidP="0007178F">
            <w:pPr>
              <w:rPr>
                <w:b/>
              </w:rPr>
            </w:pPr>
            <w:r w:rsidRPr="00EC7605">
              <w:rPr>
                <w:b/>
              </w:rPr>
              <w:t>PP 5. Výskum v oblasti reprezentácie a analýzy dát:</w:t>
            </w:r>
          </w:p>
          <w:p w:rsidR="00C142B4" w:rsidRPr="00107EA2" w:rsidRDefault="00107EA2" w:rsidP="0007178F">
            <w:r w:rsidRPr="00107EA2">
              <w:t>Pokračovali sme vo vývoji odporúčacieho systému pre turizmus, kde sme hlavne analyzovali a navrhli metódy na serverovskej strane aplikácie a dolaďovali používateľské rozhranie. Pre čiastkový výstup "Metakatalóg produktov internetových obchodov", sme implementovali a otestovali metódy automatického uloženia a spracovania extrahovaných obrázkov a metódy na anotáciu hodnôt atribútov s jednotkami a so zamlčanými jednotkami. Čo sa týka základného výskumu, venovali sme sa štúdiu diskrétnych modelov a efektívnych algoritmov. Pokračovali sme v aplikácii štatistických metód na reálne dáta a venovali sme sa rôznym teoretickým problémom týkajúcich sa multivariačných dát. Pokračovala analýza fuzzifikácie a iných rozšírení formálnej konceptovej analýzy.</w:t>
            </w:r>
          </w:p>
          <w:p w:rsidR="00107EA2" w:rsidRPr="00107EA2" w:rsidRDefault="00107EA2" w:rsidP="0007178F"/>
          <w:p w:rsidR="0007178F" w:rsidRDefault="0007178F" w:rsidP="0007178F">
            <w:pPr>
              <w:rPr>
                <w:b/>
              </w:rPr>
            </w:pPr>
            <w:r w:rsidRPr="00EE2AAA">
              <w:rPr>
                <w:b/>
              </w:rPr>
              <w:t>PP 6. Výskum a vývoj metód geoprocessingu v geopriestorových technológiach a službach:</w:t>
            </w:r>
          </w:p>
          <w:p w:rsidR="00C476B9" w:rsidRDefault="00C476B9" w:rsidP="0007178F">
            <w:r w:rsidRPr="00C476B9">
              <w:t>Aktivity v PP 6 sa realizujú podľa plánu. Realizovali sa činnosti zamerané na testovanie zariadení a metód geoprocessingu. Pre vybraté územia boli spracované základné dátové vrstvy priestorovej databázy a terénny prieskum. Zrealizovalo sa laserové skenovanie povrchových a podpovrchových foriem georeliéfu a boli zrealizované práce na na inštalácii a nastavení softvérového prostredia pre paralelizáciu výpočtov na masívnych datasetoch. Boli otestované metódy interpolácie dát s vysokou hustotou záznamu a optimalizácie parametrického nastavenia interpolačných modulov. Bolo otestované aj ovládanie mikroUAV a spracovanie obrazových záznamov pre účely 3D mapovania krajiny.</w:t>
            </w:r>
          </w:p>
          <w:p w:rsidR="0007178F" w:rsidRDefault="0007178F" w:rsidP="0007178F"/>
          <w:p w:rsidR="0018056B" w:rsidRDefault="0018056B" w:rsidP="0018056B">
            <w:pPr>
              <w:rPr>
                <w:u w:val="single"/>
              </w:rPr>
            </w:pPr>
            <w:r w:rsidRPr="00204800">
              <w:rPr>
                <w:u w:val="single"/>
              </w:rPr>
              <w:t>Stručný popis pokroku vo výskumných činnostiach</w:t>
            </w:r>
            <w:r>
              <w:rPr>
                <w:u w:val="single"/>
              </w:rPr>
              <w:t xml:space="preserve"> podľa PP</w:t>
            </w:r>
            <w:r w:rsidRPr="00204800">
              <w:rPr>
                <w:u w:val="single"/>
              </w:rPr>
              <w:t>:</w:t>
            </w:r>
          </w:p>
          <w:p w:rsidR="0007178F" w:rsidRDefault="0007178F" w:rsidP="0007178F">
            <w:pPr>
              <w:rPr>
                <w:b/>
              </w:rPr>
            </w:pPr>
            <w:r w:rsidRPr="0007178F">
              <w:rPr>
                <w:b/>
              </w:rPr>
              <w:t>PP 1. Aplikovaný výskum v oblasti paralelného a distribuovaného počítania:</w:t>
            </w:r>
          </w:p>
          <w:p w:rsidR="003B4489" w:rsidRPr="00DC56ED" w:rsidRDefault="00DC56ED" w:rsidP="0007178F">
            <w:r w:rsidRPr="00DC56ED">
              <w:t xml:space="preserve">Vo výskumných činnostiach sme vyvíjali softvér pre spracovanie geografických podkladov. </w:t>
            </w:r>
            <w:r w:rsidR="0096225F" w:rsidRPr="00DC56ED">
              <w:t>Vyvíjame</w:t>
            </w:r>
            <w:r w:rsidRPr="00DC56ED">
              <w:t xml:space="preserve"> taktiež zložitejšiu databázovú aplikáciu.</w:t>
            </w:r>
          </w:p>
          <w:p w:rsidR="00DC56ED" w:rsidRPr="00DC56ED" w:rsidRDefault="00DC56ED" w:rsidP="0007178F"/>
          <w:p w:rsidR="0007178F" w:rsidRDefault="0007178F" w:rsidP="0007178F">
            <w:pPr>
              <w:rPr>
                <w:b/>
              </w:rPr>
            </w:pPr>
            <w:r w:rsidRPr="001B321B">
              <w:rPr>
                <w:b/>
              </w:rPr>
              <w:t>PP 2. Vývoj nástrojov a metód pre virtuálnu kolaboráciu:</w:t>
            </w:r>
          </w:p>
          <w:p w:rsidR="007C6562" w:rsidRDefault="007C6562" w:rsidP="007C6562">
            <w:r>
              <w:t xml:space="preserve">Za účelom poskytnutia atraktívnejšieho grafického rozhrania pre koncového užívateľa boli vykonané práce na zmene dizajnu (nové ikony, logá, farby) všetkých koncových aplikácií (včítane mobilných iOS/Android). Pre potreby slovenskej komunity sme začali s tvorbou uceleného manuálu.  </w:t>
            </w:r>
          </w:p>
          <w:p w:rsidR="007C6562" w:rsidRDefault="007C6562" w:rsidP="007C6562">
            <w:r>
              <w:t xml:space="preserve">Ďalej pre zlepšenie komfortu vzdialených účastníkov, ktorí sú obmedzení v prijímaní len jedného trans-kódovaného video streamu, sme začali s návrhom riešenia a implementácie zobrazenia textu vo videu, pričom v prvej etape počítame so zobrazením RTP/RTCP mená účastníkov pri jednotlivých trans-kódovaných videách. </w:t>
            </w:r>
          </w:p>
          <w:p w:rsidR="007C6562" w:rsidRDefault="007C6562" w:rsidP="007C6562">
            <w:r>
              <w:t>Vylepšili sme niektoré univerzálneho prehrávača ako pozastavenie záznamu a získanie dĺžky záznamu a aktuálnej pozície v zázname.</w:t>
            </w:r>
          </w:p>
          <w:p w:rsidR="007C6562" w:rsidRDefault="007C6562" w:rsidP="007C6562">
            <w:r>
              <w:t xml:space="preserve">V neposlednom rade bolo vykonaných množstvo testov a následne odlaďovanie nájdených chýb v existujúcich aplikáciách/moduloch ako univerzálny prehrávač,  mobilných aplikáciách iOS/Android a WebRTC.    </w:t>
            </w:r>
          </w:p>
          <w:p w:rsidR="007C6562" w:rsidRDefault="007C6562" w:rsidP="007C6562">
            <w:pPr>
              <w:rPr>
                <w:b/>
              </w:rPr>
            </w:pPr>
            <w:r>
              <w:lastRenderedPageBreak/>
              <w:t>Portál(P. Murin):</w:t>
            </w:r>
          </w:p>
          <w:p w:rsidR="00DC56ED" w:rsidRDefault="00DC56ED" w:rsidP="0007178F">
            <w:pPr>
              <w:rPr>
                <w:b/>
              </w:rPr>
            </w:pPr>
          </w:p>
          <w:p w:rsidR="0007178F" w:rsidRPr="0007178F" w:rsidRDefault="0007178F" w:rsidP="0007178F">
            <w:pPr>
              <w:rPr>
                <w:b/>
              </w:rPr>
            </w:pPr>
            <w:r w:rsidRPr="0007178F">
              <w:rPr>
                <w:b/>
              </w:rPr>
              <w:t>PP 3. Výskum v oblasti inovatívnych interakcií človek-počítač:</w:t>
            </w:r>
          </w:p>
          <w:p w:rsidR="007C1A60" w:rsidRDefault="007C1A60" w:rsidP="007C1A60">
            <w:r>
              <w:t>Príprava ďalšej publikácie o kontextuálnych efektov pri vnímaní vzdialenosti. Príprava University start-ups symposium a konzultácie s prednášajúcimi Seitz-om a Carlile-om o možnostiach start-upov založených na výskume v Laboratóriu vnímania a kognície.</w:t>
            </w:r>
          </w:p>
          <w:p w:rsidR="003B4489" w:rsidRDefault="003B4489" w:rsidP="0007178F">
            <w:pPr>
              <w:rPr>
                <w:b/>
              </w:rPr>
            </w:pPr>
          </w:p>
          <w:p w:rsidR="0007178F" w:rsidRDefault="0007178F" w:rsidP="0007178F">
            <w:pPr>
              <w:rPr>
                <w:b/>
              </w:rPr>
            </w:pPr>
            <w:r w:rsidRPr="00434F1F">
              <w:rPr>
                <w:b/>
              </w:rPr>
              <w:t>PP 4. Vývoj informačných systémov pre podporu riadenia vzdelávania, vedy a výskumu:</w:t>
            </w:r>
          </w:p>
          <w:p w:rsidR="007C1A60" w:rsidRPr="00C142B4" w:rsidRDefault="007C1A60" w:rsidP="007C1A60">
            <w:r w:rsidRPr="00C142B4">
              <w:t xml:space="preserve">Vytvorené </w:t>
            </w:r>
            <w:r>
              <w:t xml:space="preserve">nové </w:t>
            </w:r>
            <w:r w:rsidRPr="00C142B4">
              <w:t>podporné funkcie v rámci prijímacieho konania. Uprav</w:t>
            </w:r>
            <w:r>
              <w:t xml:space="preserve">ený </w:t>
            </w:r>
            <w:r w:rsidRPr="00C142B4">
              <w:t xml:space="preserve">proces výpočtu výsledkovej listiny a jej rekurzívneho prepočtu </w:t>
            </w:r>
            <w:r>
              <w:t xml:space="preserve">na </w:t>
            </w:r>
            <w:r w:rsidRPr="00C142B4">
              <w:t xml:space="preserve">základe preferenčných kritérií. </w:t>
            </w:r>
            <w:r>
              <w:t xml:space="preserve"> Doplnený </w:t>
            </w:r>
            <w:r w:rsidRPr="00C142B4">
              <w:t>proces elektronickej návratky o nevyhnutné kroky tak</w:t>
            </w:r>
            <w:r>
              <w:t>,</w:t>
            </w:r>
            <w:r w:rsidRPr="00C142B4">
              <w:t xml:space="preserve"> aby spĺňal literu zákona o spracovaní osobných údajov. Priprav</w:t>
            </w:r>
            <w:r>
              <w:t xml:space="preserve">ený </w:t>
            </w:r>
            <w:r w:rsidRPr="00C142B4">
              <w:t>testovací príklad na zber aplikačných metrík pre overenie dostupných nástrojov.</w:t>
            </w:r>
          </w:p>
          <w:p w:rsidR="003B4489" w:rsidRDefault="003B4489" w:rsidP="0007178F">
            <w:pPr>
              <w:rPr>
                <w:b/>
              </w:rPr>
            </w:pPr>
          </w:p>
          <w:p w:rsidR="0007178F" w:rsidRDefault="0007178F" w:rsidP="0007178F">
            <w:pPr>
              <w:rPr>
                <w:b/>
              </w:rPr>
            </w:pPr>
            <w:r w:rsidRPr="00EC7605">
              <w:rPr>
                <w:b/>
              </w:rPr>
              <w:t>PP 5. Výskum v oblasti reprezentácie a analýzy dát:</w:t>
            </w:r>
          </w:p>
          <w:p w:rsidR="00833575" w:rsidRDefault="00833575" w:rsidP="00833575">
            <w:r>
              <w:t>V</w:t>
            </w:r>
            <w:r w:rsidRPr="00107EA2">
              <w:t>ývoj odporúčacieho systému pre turizmus</w:t>
            </w:r>
            <w:r>
              <w:t xml:space="preserve"> - </w:t>
            </w:r>
            <w:r w:rsidRPr="00107EA2">
              <w:t>anal</w:t>
            </w:r>
            <w:r>
              <w:t>ýza</w:t>
            </w:r>
            <w:r w:rsidRPr="00107EA2">
              <w:t xml:space="preserve"> a n</w:t>
            </w:r>
            <w:r>
              <w:t>á</w:t>
            </w:r>
            <w:r w:rsidRPr="00107EA2">
              <w:t>vrh metód na serverovskej strane aplikácie a dolaďova</w:t>
            </w:r>
            <w:r>
              <w:t>nie</w:t>
            </w:r>
            <w:r w:rsidRPr="00107EA2">
              <w:t xml:space="preserve"> používateľské</w:t>
            </w:r>
            <w:r>
              <w:t>ho</w:t>
            </w:r>
            <w:r w:rsidRPr="00107EA2">
              <w:t xml:space="preserve"> rozhrani</w:t>
            </w:r>
            <w:r>
              <w:t>a</w:t>
            </w:r>
            <w:r w:rsidRPr="00107EA2">
              <w:t>.</w:t>
            </w:r>
          </w:p>
          <w:p w:rsidR="00833575" w:rsidRPr="00107EA2" w:rsidRDefault="00833575" w:rsidP="00833575">
            <w:r>
              <w:t>I</w:t>
            </w:r>
            <w:r w:rsidRPr="00107EA2">
              <w:t>mplement</w:t>
            </w:r>
            <w:r>
              <w:t xml:space="preserve">ácia </w:t>
            </w:r>
            <w:r w:rsidRPr="00107EA2">
              <w:t>a testova</w:t>
            </w:r>
            <w:r>
              <w:t>nie</w:t>
            </w:r>
            <w:r w:rsidRPr="00107EA2">
              <w:t xml:space="preserve"> metód automatického uloženia a spracovania extrahovaných obrázkov a metód na anotáciu hodnôt atribútov s jednotkami a so zamlčanými jednotkami. </w:t>
            </w:r>
            <w:r>
              <w:t>A</w:t>
            </w:r>
            <w:r w:rsidRPr="00107EA2">
              <w:t>plikáci</w:t>
            </w:r>
            <w:r>
              <w:t>a</w:t>
            </w:r>
            <w:r w:rsidRPr="00107EA2">
              <w:t xml:space="preserve"> štatistických metód na reálne dáta a</w:t>
            </w:r>
            <w:r>
              <w:t xml:space="preserve"> riešenie </w:t>
            </w:r>
            <w:r w:rsidRPr="00107EA2">
              <w:t>problémo</w:t>
            </w:r>
            <w:r>
              <w:t>v</w:t>
            </w:r>
            <w:r w:rsidRPr="00107EA2">
              <w:t xml:space="preserve"> týkajúcich sa multivariačných dát. </w:t>
            </w:r>
          </w:p>
          <w:p w:rsidR="003B4489" w:rsidRDefault="003B4489" w:rsidP="0007178F">
            <w:pPr>
              <w:rPr>
                <w:b/>
              </w:rPr>
            </w:pPr>
          </w:p>
          <w:p w:rsidR="009262DA" w:rsidRDefault="0007178F" w:rsidP="0007178F">
            <w:pPr>
              <w:rPr>
                <w:b/>
              </w:rPr>
            </w:pPr>
            <w:r w:rsidRPr="00EE2AAA">
              <w:rPr>
                <w:b/>
              </w:rPr>
              <w:t>PP 6. Výskum a vývoj metód geoprocessingu v g</w:t>
            </w:r>
            <w:r w:rsidR="003B4489">
              <w:rPr>
                <w:b/>
              </w:rPr>
              <w:t xml:space="preserve">eopriestorových technológiach a </w:t>
            </w:r>
            <w:r w:rsidRPr="00EE2AAA">
              <w:rPr>
                <w:b/>
              </w:rPr>
              <w:t>službach:</w:t>
            </w:r>
          </w:p>
          <w:p w:rsidR="00356AA2" w:rsidRPr="00356AA2" w:rsidRDefault="00356AA2" w:rsidP="0007178F">
            <w:r w:rsidRPr="00356AA2">
              <w:t>Výskumné činnosti boli zamerané najmä spracovanie masívnych datasetov z laserového skenovania a tvorbu 3D geodatabázy. Bola otestovaná parametrizácia interpolačných modulov a ich aplikácia testovacom území. Bol navrhnutý postup paralelizácie a distribuovaného počítania vybraných interpolačných softvérovych modulov GIS-u GRASS. Pokračujú práce na katalógu máp pre záujmové územie s cieľom dokumentovať aplikáciu technológie a vyvíjaných metód.</w:t>
            </w:r>
          </w:p>
          <w:p w:rsidR="0007178F" w:rsidRDefault="0007178F" w:rsidP="00204800">
            <w:pPr>
              <w:rPr>
                <w:u w:val="single"/>
              </w:rPr>
            </w:pPr>
          </w:p>
          <w:p w:rsidR="00204800" w:rsidRPr="00204800" w:rsidRDefault="00204800" w:rsidP="00204800">
            <w:pPr>
              <w:rPr>
                <w:u w:val="single"/>
              </w:rPr>
            </w:pPr>
            <w:r>
              <w:rPr>
                <w:u w:val="single"/>
              </w:rPr>
              <w:t>D</w:t>
            </w:r>
            <w:r w:rsidRPr="00204800">
              <w:rPr>
                <w:u w:val="single"/>
              </w:rPr>
              <w:t>osiahnuté výsledky aktivity:</w:t>
            </w:r>
          </w:p>
          <w:p w:rsidR="004E34D2" w:rsidRDefault="006F3227" w:rsidP="004E34D2">
            <w:r>
              <w:t>Dosiahnuté výsledky jednotlivých PP sú popísané vyššie v časti „</w:t>
            </w:r>
            <w:r w:rsidRPr="000A6561">
              <w:t>Vecný pokrok v realizácii aktivity podľa PP</w:t>
            </w:r>
            <w:r>
              <w:t>“.</w:t>
            </w:r>
            <w:r w:rsidR="00755030">
              <w:t xml:space="preserve"> Okrem vyššie spomenutých bol v rámci PP1 p</w:t>
            </w:r>
            <w:r w:rsidR="004E34D2">
              <w:t>rezent</w:t>
            </w:r>
            <w:r w:rsidR="00755030">
              <w:t xml:space="preserve">ovaný príspevok </w:t>
            </w:r>
            <w:r w:rsidR="004E34D2">
              <w:t xml:space="preserve">J. Cernak, M. Kocan, E. Cernakova, „Reconfigurable and Adaptive Computational Resources on the Abstract Level“, Proceedings of the Work in Progress Session, 23 rd Euromicro Conference on Parallel, Distributed and Network=based Processing PDP2015, Turku </w:t>
            </w:r>
          </w:p>
          <w:p w:rsidR="0007178F" w:rsidRDefault="00755030" w:rsidP="004E34D2">
            <w:r>
              <w:t>A bolo realizované c</w:t>
            </w:r>
            <w:r w:rsidR="004E34D2">
              <w:t>ertifikačné testovanie ARC middleware.</w:t>
            </w:r>
          </w:p>
          <w:p w:rsidR="004E34D2" w:rsidRDefault="004E34D2" w:rsidP="00204800">
            <w:pPr>
              <w:rPr>
                <w:u w:val="single"/>
              </w:rPr>
            </w:pPr>
          </w:p>
          <w:p w:rsidR="00204800" w:rsidRPr="00204800" w:rsidRDefault="00204800" w:rsidP="00204800">
            <w:pPr>
              <w:rPr>
                <w:u w:val="single"/>
              </w:rPr>
            </w:pPr>
            <w:r>
              <w:rPr>
                <w:u w:val="single"/>
              </w:rPr>
              <w:t>R</w:t>
            </w:r>
            <w:r w:rsidRPr="00204800">
              <w:rPr>
                <w:u w:val="single"/>
              </w:rPr>
              <w:t>izikové oblasti:</w:t>
            </w:r>
          </w:p>
          <w:p w:rsidR="0007178F" w:rsidRDefault="00CA687A" w:rsidP="0007178F">
            <w:r w:rsidRPr="00D27CD1">
              <w:t xml:space="preserve">Vzhľadom na neskorú dodávku IKT zariadení nebol vyvíjaný </w:t>
            </w:r>
            <w:r>
              <w:t xml:space="preserve">softvér otestovaný na všetkých plánovaných platformách. Po dodaní zariadení a zrealizovaní testov môže dôjsť ku </w:t>
            </w:r>
            <w:r w:rsidRPr="00785ED7">
              <w:t>koncentrácii úloh do posledných mesiacov riešenia projektu</w:t>
            </w:r>
            <w:r>
              <w:t>.</w:t>
            </w:r>
          </w:p>
          <w:p w:rsidR="00CA687A" w:rsidRDefault="00CA687A" w:rsidP="0007178F"/>
          <w:p w:rsidR="00204800" w:rsidRPr="00CA687A" w:rsidRDefault="00204800" w:rsidP="00204800">
            <w:r>
              <w:rPr>
                <w:u w:val="single"/>
              </w:rPr>
              <w:t>A</w:t>
            </w:r>
            <w:r w:rsidRPr="00204800">
              <w:rPr>
                <w:u w:val="single"/>
              </w:rPr>
              <w:t>k je realizácia aktivít v omeškaní, je potrebné uviesť dôvody omeškania a aké boli prijaté opatrenia:</w:t>
            </w:r>
            <w:r w:rsidR="00CA687A">
              <w:rPr>
                <w:u w:val="single"/>
              </w:rPr>
              <w:t xml:space="preserve"> </w:t>
            </w:r>
            <w:r w:rsidR="00CA687A">
              <w:t>Opakovanie VO na IKT.</w:t>
            </w:r>
          </w:p>
          <w:p w:rsidR="00647E2E" w:rsidRDefault="00647E2E" w:rsidP="005F0BD5"/>
        </w:tc>
      </w:tr>
      <w:tr w:rsidR="006D6EB3" w:rsidTr="003272E8">
        <w:tc>
          <w:tcPr>
            <w:tcW w:w="2660" w:type="dxa"/>
            <w:tcBorders>
              <w:bottom w:val="single" w:sz="4" w:space="0" w:color="auto"/>
            </w:tcBorders>
            <w:shd w:val="clear" w:color="auto" w:fill="9BD4F9" w:themeFill="background2" w:themeFillShade="E6"/>
          </w:tcPr>
          <w:p w:rsidR="006D6EB3" w:rsidRDefault="006D6EB3" w:rsidP="005F0BD5">
            <w:r w:rsidRPr="006D6EB3">
              <w:lastRenderedPageBreak/>
              <w:t xml:space="preserve">Aktivita 3.7 Pilotné </w:t>
            </w:r>
            <w:r w:rsidRPr="006D6EB3">
              <w:lastRenderedPageBreak/>
              <w:t>projekty PU v Prešove v odbore Environmentálne inžinierstvo</w:t>
            </w:r>
          </w:p>
          <w:p w:rsidR="00E12A9A" w:rsidRPr="006D6EB3" w:rsidRDefault="00E12A9A" w:rsidP="005F0BD5">
            <w:r w:rsidRPr="00E12A9A">
              <w:t>(prof. RNDr. Marián Reiffers, DrSc.)</w:t>
            </w:r>
          </w:p>
        </w:tc>
        <w:tc>
          <w:tcPr>
            <w:tcW w:w="7830" w:type="dxa"/>
            <w:tcBorders>
              <w:bottom w:val="single" w:sz="4" w:space="0" w:color="auto"/>
            </w:tcBorders>
          </w:tcPr>
          <w:p w:rsidR="00204800" w:rsidRDefault="00204800" w:rsidP="00204800">
            <w:pPr>
              <w:rPr>
                <w:u w:val="single"/>
              </w:rPr>
            </w:pPr>
            <w:r w:rsidRPr="00204800">
              <w:rPr>
                <w:u w:val="single"/>
              </w:rPr>
              <w:lastRenderedPageBreak/>
              <w:t>V</w:t>
            </w:r>
            <w:r>
              <w:rPr>
                <w:u w:val="single"/>
              </w:rPr>
              <w:t>ecný pokrok v realizácii aktivity podľa PP:</w:t>
            </w:r>
          </w:p>
          <w:p w:rsidR="00204800" w:rsidRDefault="00204800" w:rsidP="00647E2E"/>
          <w:p w:rsidR="0018056B" w:rsidRDefault="0018056B" w:rsidP="0018056B">
            <w:pPr>
              <w:rPr>
                <w:u w:val="single"/>
              </w:rPr>
            </w:pPr>
            <w:r w:rsidRPr="00204800">
              <w:rPr>
                <w:u w:val="single"/>
              </w:rPr>
              <w:t>Stručný popis pokroku vo výskumných činnostiach</w:t>
            </w:r>
            <w:r>
              <w:rPr>
                <w:u w:val="single"/>
              </w:rPr>
              <w:t xml:space="preserve"> podľa PP</w:t>
            </w:r>
            <w:r w:rsidRPr="00204800">
              <w:rPr>
                <w:u w:val="single"/>
              </w:rPr>
              <w:t>:</w:t>
            </w:r>
          </w:p>
          <w:p w:rsidR="009262DA" w:rsidRDefault="009262DA" w:rsidP="00204800">
            <w:pPr>
              <w:rPr>
                <w:u w:val="single"/>
              </w:rPr>
            </w:pPr>
          </w:p>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tc>
      </w:tr>
      <w:tr w:rsidR="0065201F" w:rsidTr="003272E8">
        <w:tc>
          <w:tcPr>
            <w:tcW w:w="10490" w:type="dxa"/>
            <w:gridSpan w:val="2"/>
            <w:shd w:val="clear" w:color="auto" w:fill="9BD4F9" w:themeFill="background2" w:themeFillShade="E6"/>
            <w:vAlign w:val="bottom"/>
          </w:tcPr>
          <w:p w:rsidR="0065201F" w:rsidRPr="0065201F" w:rsidRDefault="0065201F" w:rsidP="0065201F">
            <w:pPr>
              <w:jc w:val="center"/>
              <w:rPr>
                <w:b/>
              </w:rPr>
            </w:pPr>
            <w:r w:rsidRPr="0065201F">
              <w:rPr>
                <w:b/>
              </w:rPr>
              <w:lastRenderedPageBreak/>
              <w:t>Podporné aktivity</w:t>
            </w:r>
          </w:p>
        </w:tc>
      </w:tr>
      <w:tr w:rsidR="0065201F" w:rsidTr="003272E8">
        <w:tc>
          <w:tcPr>
            <w:tcW w:w="2660" w:type="dxa"/>
            <w:shd w:val="clear" w:color="auto" w:fill="9BD4F9" w:themeFill="background2" w:themeFillShade="E6"/>
          </w:tcPr>
          <w:p w:rsidR="0065201F" w:rsidRDefault="006D6EB3" w:rsidP="005F0BD5">
            <w:r>
              <w:t>Riadenie projektu</w:t>
            </w:r>
          </w:p>
        </w:tc>
        <w:tc>
          <w:tcPr>
            <w:tcW w:w="7830" w:type="dxa"/>
          </w:tcPr>
          <w:p w:rsidR="00F905D7" w:rsidRDefault="00F905D7" w:rsidP="00F905D7">
            <w:r>
              <w:t>Okrem štandardných činností spojených s riadením projektu boli realizované aj nasledujúce činnosti:</w:t>
            </w:r>
          </w:p>
          <w:p w:rsidR="00F905D7" w:rsidRDefault="00F905D7" w:rsidP="00F905D7">
            <w:pPr>
              <w:pStyle w:val="Odsekzoznamu"/>
              <w:numPr>
                <w:ilvl w:val="0"/>
                <w:numId w:val="3"/>
              </w:numPr>
            </w:pPr>
            <w:r>
              <w:t xml:space="preserve">Propagácia </w:t>
            </w:r>
            <w:r w:rsidRPr="00F905D7">
              <w:t>„Symposium on university spin-offs and start-up companies“</w:t>
            </w:r>
            <w:r>
              <w:t xml:space="preserve"> realizovaného v rámci projektu</w:t>
            </w:r>
          </w:p>
          <w:p w:rsidR="007D3DDF" w:rsidRDefault="007D3DDF" w:rsidP="00F905D7">
            <w:pPr>
              <w:pStyle w:val="Odsekzoznamu"/>
              <w:numPr>
                <w:ilvl w:val="0"/>
                <w:numId w:val="3"/>
              </w:numPr>
            </w:pPr>
            <w:r>
              <w:t>Organizácia sympózia venovaného start-upom na univerzite, komunikácia so zahraničnými výskumníkmi ktorí vystúpia na sympóziu.</w:t>
            </w:r>
          </w:p>
          <w:p w:rsidR="00F905D7" w:rsidRDefault="00F905D7" w:rsidP="00F905D7">
            <w:pPr>
              <w:pStyle w:val="Odsekzoznamu"/>
              <w:numPr>
                <w:ilvl w:val="0"/>
                <w:numId w:val="3"/>
              </w:numPr>
            </w:pPr>
            <w:r>
              <w:t>Príprava a zaslanie 4. monitorovacej správy.</w:t>
            </w:r>
          </w:p>
          <w:p w:rsidR="00F905D7" w:rsidRDefault="00F905D7" w:rsidP="00F905D7">
            <w:pPr>
              <w:pStyle w:val="Odsekzoznamu"/>
              <w:numPr>
                <w:ilvl w:val="0"/>
                <w:numId w:val="3"/>
              </w:numPr>
            </w:pPr>
            <w:r>
              <w:t>Stretnutia a rokovania s dodávateľom IKT a softvéru ohľadom dodania požadovaných zariadení, hľadanie alternatívnych modelov pre zariadenia ktoré už výrobca prestal vyrábať.</w:t>
            </w:r>
          </w:p>
          <w:p w:rsidR="00F905D7" w:rsidRDefault="00F905D7" w:rsidP="00F905D7">
            <w:pPr>
              <w:pStyle w:val="Odsekzoznamu"/>
              <w:numPr>
                <w:ilvl w:val="0"/>
                <w:numId w:val="3"/>
              </w:numPr>
            </w:pPr>
            <w:r>
              <w:t>Príprava objednávok na IKT a softvér.</w:t>
            </w:r>
          </w:p>
          <w:p w:rsidR="00F905D7" w:rsidRDefault="00F905D7" w:rsidP="00F905D7">
            <w:pPr>
              <w:pStyle w:val="Odsekzoznamu"/>
              <w:numPr>
                <w:ilvl w:val="0"/>
                <w:numId w:val="3"/>
              </w:numPr>
            </w:pPr>
            <w:r>
              <w:t>Komunikácia s dodávateľom ohľadom inštalácie dodaných softvérov – licencie, prístupové kódy, registrácie, ...</w:t>
            </w:r>
          </w:p>
          <w:p w:rsidR="007D3DDF" w:rsidRDefault="00E2577A" w:rsidP="00F905D7">
            <w:pPr>
              <w:pStyle w:val="Odsekzoznamu"/>
              <w:numPr>
                <w:ilvl w:val="0"/>
                <w:numId w:val="3"/>
              </w:numPr>
            </w:pPr>
            <w:r>
              <w:t>Zaslanie ohlásení o začiatku realizácie stavby na všetky dotknuté inštitúcie</w:t>
            </w:r>
          </w:p>
          <w:p w:rsidR="00F905D7" w:rsidRDefault="00E2577A" w:rsidP="00F905D7">
            <w:pPr>
              <w:pStyle w:val="Odsekzoznamu"/>
              <w:numPr>
                <w:ilvl w:val="0"/>
                <w:numId w:val="3"/>
              </w:numPr>
            </w:pPr>
            <w:r>
              <w:t>Príprava odovzdania staveniska, stretnutia so stavbyvedúcim, stavebným dozorom a projektantom</w:t>
            </w:r>
          </w:p>
          <w:p w:rsidR="00EA150F" w:rsidRDefault="00EA150F" w:rsidP="007D3DDF"/>
        </w:tc>
      </w:tr>
      <w:tr w:rsidR="00EA150F" w:rsidTr="003272E8">
        <w:tc>
          <w:tcPr>
            <w:tcW w:w="2660" w:type="dxa"/>
            <w:shd w:val="clear" w:color="auto" w:fill="9BD4F9" w:themeFill="background2" w:themeFillShade="E6"/>
          </w:tcPr>
          <w:p w:rsidR="00EA150F" w:rsidRDefault="006D6EB3" w:rsidP="005F0BD5">
            <w:r w:rsidRPr="006D6EB3">
              <w:t>Publicita a informovanosť</w:t>
            </w:r>
          </w:p>
        </w:tc>
        <w:tc>
          <w:tcPr>
            <w:tcW w:w="7830" w:type="dxa"/>
          </w:tcPr>
          <w:p w:rsidR="00EB4341" w:rsidRPr="00EB4341" w:rsidRDefault="00EB4341" w:rsidP="00EB4341">
            <w:pPr>
              <w:pStyle w:val="Odsekzoznamu"/>
              <w:numPr>
                <w:ilvl w:val="0"/>
                <w:numId w:val="4"/>
              </w:numPr>
              <w:rPr>
                <w:rStyle w:val="Hypertextovprepojenie"/>
                <w:color w:val="auto"/>
                <w:u w:val="none"/>
              </w:rPr>
            </w:pPr>
            <w:r>
              <w:t>23.-24.4.2015 sa</w:t>
            </w:r>
            <w:r w:rsidR="00770E94">
              <w:t xml:space="preserve"> </w:t>
            </w:r>
            <w:bookmarkStart w:id="0" w:name="_GoBack"/>
            <w:bookmarkEnd w:id="0"/>
            <w:r>
              <w:t>konalo „</w:t>
            </w:r>
            <w:r w:rsidRPr="009A6D2A">
              <w:t>Symposium on university spin-offs and start-up companies</w:t>
            </w:r>
            <w:r>
              <w:t xml:space="preserve">“ </w:t>
            </w:r>
            <w:hyperlink r:id="rId15" w:history="1">
              <w:r w:rsidRPr="00D406E4">
                <w:rPr>
                  <w:rStyle w:val="Hypertextovprepojenie"/>
                </w:rPr>
                <w:t>http://pcl.ics.upjs.sk/symposium2015/</w:t>
              </w:r>
            </w:hyperlink>
          </w:p>
          <w:p w:rsidR="00EA150F" w:rsidRDefault="00EB4341" w:rsidP="00EB4341">
            <w:pPr>
              <w:pStyle w:val="Odsekzoznamu"/>
              <w:numPr>
                <w:ilvl w:val="0"/>
                <w:numId w:val="4"/>
              </w:numPr>
            </w:pPr>
            <w:r>
              <w:t>prezentácia príspevku J. Cernak, M. Kocan, E. Cernakova, „Reconfigurable and Adaptive Computational Resources on the Abstract Level“, Proceedings of the Work in Progress Session, 23 rd Euromicro Conference on Parallel, Distributed and Network=based Processing PDP2015, Turku</w:t>
            </w:r>
          </w:p>
        </w:tc>
      </w:tr>
    </w:tbl>
    <w:p w:rsidR="0065201F" w:rsidRDefault="0065201F" w:rsidP="005F0BD5"/>
    <w:p w:rsidR="0065201F" w:rsidRDefault="0065201F" w:rsidP="005F0BD5"/>
    <w:p w:rsidR="0065201F" w:rsidRDefault="0065201F" w:rsidP="005F0BD5"/>
    <w:p w:rsidR="0065201F" w:rsidRDefault="0065201F" w:rsidP="005F0BD5"/>
    <w:p w:rsidR="0065201F" w:rsidRDefault="0065201F" w:rsidP="005F0BD5"/>
    <w:p w:rsidR="0065201F" w:rsidRDefault="0065201F" w:rsidP="005F0BD5"/>
    <w:p w:rsidR="00EA150F" w:rsidRDefault="00EA150F" w:rsidP="005F0BD5"/>
    <w:p w:rsidR="00755127" w:rsidRDefault="00755127" w:rsidP="005F0BD5"/>
    <w:p w:rsidR="00755127" w:rsidRDefault="00755127" w:rsidP="005F0BD5"/>
    <w:p w:rsidR="00755127" w:rsidRDefault="00755127" w:rsidP="005F0BD5"/>
    <w:p w:rsidR="00755127" w:rsidRDefault="00755127" w:rsidP="005F0BD5"/>
    <w:p w:rsidR="00755127" w:rsidRDefault="00755127" w:rsidP="005F0BD5"/>
    <w:p w:rsidR="00755127" w:rsidRDefault="00755127" w:rsidP="005F0BD5"/>
    <w:p w:rsidR="00647E2E" w:rsidRDefault="00647E2E" w:rsidP="005F0BD5"/>
    <w:p w:rsidR="00EA150F" w:rsidRPr="00EA150F" w:rsidRDefault="00EA150F" w:rsidP="005F0BD5">
      <w:r>
        <w:t>_________________</w:t>
      </w:r>
    </w:p>
    <w:p w:rsidR="00EA150F" w:rsidRDefault="00EA150F" w:rsidP="005F0BD5">
      <w:pPr>
        <w:rPr>
          <w:rFonts w:ascii="Arial Narrow" w:hAnsi="Arial Narrow"/>
          <w:sz w:val="18"/>
          <w:szCs w:val="18"/>
        </w:rPr>
      </w:pPr>
      <w:r>
        <w:rPr>
          <w:rFonts w:eastAsiaTheme="minorEastAsia"/>
          <w:bCs/>
          <w:iCs/>
          <w:noProof/>
          <w:vertAlign w:val="superscript"/>
          <w:lang w:eastAsia="sk-SK"/>
        </w:rPr>
        <w:lastRenderedPageBreak/>
        <w:t xml:space="preserve">1 </w:t>
      </w:r>
      <w:r>
        <w:rPr>
          <w:rFonts w:ascii="Arial Narrow" w:hAnsi="Arial Narrow"/>
          <w:sz w:val="18"/>
          <w:szCs w:val="18"/>
        </w:rPr>
        <w:t>Stručný</w:t>
      </w:r>
      <w:r w:rsidRPr="00E156FE">
        <w:rPr>
          <w:rFonts w:ascii="Arial Narrow" w:hAnsi="Arial Narrow"/>
          <w:sz w:val="18"/>
          <w:szCs w:val="18"/>
        </w:rPr>
        <w:t xml:space="preserve"> p</w:t>
      </w:r>
      <w:r>
        <w:rPr>
          <w:rFonts w:ascii="Arial Narrow" w:hAnsi="Arial Narrow"/>
          <w:sz w:val="18"/>
          <w:szCs w:val="18"/>
        </w:rPr>
        <w:t xml:space="preserve">opis </w:t>
      </w:r>
      <w:r w:rsidRPr="00E156FE">
        <w:rPr>
          <w:rFonts w:ascii="Arial Narrow" w:hAnsi="Arial Narrow"/>
          <w:sz w:val="18"/>
          <w:szCs w:val="18"/>
        </w:rPr>
        <w:t>realizáci</w:t>
      </w:r>
      <w:r>
        <w:rPr>
          <w:rFonts w:ascii="Arial Narrow" w:hAnsi="Arial Narrow"/>
          <w:sz w:val="18"/>
          <w:szCs w:val="18"/>
        </w:rPr>
        <w:t>e</w:t>
      </w:r>
      <w:r w:rsidRPr="00E156FE">
        <w:rPr>
          <w:rFonts w:ascii="Arial Narrow" w:hAnsi="Arial Narrow"/>
          <w:sz w:val="18"/>
          <w:szCs w:val="18"/>
        </w:rPr>
        <w:t xml:space="preserve"> príslušnej aktivity projektu: súčasný stav verejného obstarávania,</w:t>
      </w:r>
      <w:r>
        <w:rPr>
          <w:rFonts w:ascii="Arial Narrow" w:hAnsi="Arial Narrow"/>
          <w:sz w:val="18"/>
          <w:szCs w:val="18"/>
        </w:rPr>
        <w:t xml:space="preserve"> pokrok v stavebných činnostiach, v dodaní tovarov a služieb, </w:t>
      </w:r>
      <w:r w:rsidR="0023192C">
        <w:rPr>
          <w:rFonts w:ascii="Arial Narrow" w:hAnsi="Arial Narrow"/>
          <w:sz w:val="18"/>
          <w:szCs w:val="18"/>
        </w:rPr>
        <w:t xml:space="preserve">stručný popis pokroku vo výskumných činnostiach, </w:t>
      </w:r>
      <w:r w:rsidRPr="00E156FE">
        <w:rPr>
          <w:rFonts w:ascii="Arial Narrow" w:hAnsi="Arial Narrow"/>
          <w:sz w:val="18"/>
          <w:szCs w:val="18"/>
        </w:rPr>
        <w:t xml:space="preserve"> dosiahnuté výsledky aktivity a pod.</w:t>
      </w:r>
      <w:r w:rsidR="0023192C">
        <w:rPr>
          <w:rFonts w:ascii="Arial Narrow" w:hAnsi="Arial Narrow"/>
          <w:sz w:val="18"/>
          <w:szCs w:val="18"/>
        </w:rPr>
        <w:t xml:space="preserve"> zároveň je nevyhnutné uviesť rizikové oblasti. </w:t>
      </w:r>
      <w:r w:rsidRPr="00E156FE">
        <w:rPr>
          <w:rFonts w:ascii="Arial Narrow" w:hAnsi="Arial Narrow"/>
          <w:sz w:val="18"/>
          <w:szCs w:val="18"/>
        </w:rPr>
        <w:t>Ak je realizácia aktivít v</w:t>
      </w:r>
      <w:r>
        <w:rPr>
          <w:rFonts w:ascii="Arial Narrow" w:hAnsi="Arial Narrow"/>
          <w:sz w:val="18"/>
          <w:szCs w:val="18"/>
        </w:rPr>
        <w:t> </w:t>
      </w:r>
      <w:r w:rsidRPr="00E156FE">
        <w:rPr>
          <w:rFonts w:ascii="Arial Narrow" w:hAnsi="Arial Narrow"/>
          <w:sz w:val="18"/>
          <w:szCs w:val="18"/>
        </w:rPr>
        <w:t>omeškaní</w:t>
      </w:r>
      <w:r>
        <w:rPr>
          <w:rFonts w:ascii="Arial Narrow" w:hAnsi="Arial Narrow"/>
          <w:sz w:val="18"/>
          <w:szCs w:val="18"/>
        </w:rPr>
        <w:t>, je potrebné uviesť</w:t>
      </w:r>
      <w:r w:rsidR="0023192C">
        <w:rPr>
          <w:rFonts w:ascii="Arial Narrow" w:hAnsi="Arial Narrow"/>
          <w:sz w:val="18"/>
          <w:szCs w:val="18"/>
        </w:rPr>
        <w:t xml:space="preserve"> dôvody omeškania a aké boli prijaté opatrenia. </w:t>
      </w:r>
      <w:r w:rsidRPr="00E156FE">
        <w:rPr>
          <w:rFonts w:ascii="Arial Narrow" w:hAnsi="Arial Narrow"/>
          <w:sz w:val="18"/>
          <w:szCs w:val="18"/>
        </w:rPr>
        <w:t xml:space="preserve"> V prípade, že je aktivita ukončená</w:t>
      </w:r>
      <w:r>
        <w:rPr>
          <w:rFonts w:ascii="Arial Narrow" w:hAnsi="Arial Narrow"/>
          <w:sz w:val="18"/>
          <w:szCs w:val="18"/>
        </w:rPr>
        <w:t xml:space="preserve">, uviesť </w:t>
      </w:r>
      <w:r w:rsidRPr="00E156FE">
        <w:rPr>
          <w:rFonts w:ascii="Arial Narrow" w:hAnsi="Arial Narrow"/>
          <w:sz w:val="18"/>
          <w:szCs w:val="18"/>
        </w:rPr>
        <w:t>len text „UKONČENÁ“</w:t>
      </w:r>
      <w:r>
        <w:rPr>
          <w:rFonts w:ascii="Arial Narrow" w:hAnsi="Arial Narrow"/>
          <w:sz w:val="18"/>
          <w:szCs w:val="18"/>
        </w:rPr>
        <w:t>.</w:t>
      </w:r>
    </w:p>
    <w:p w:rsidR="00755127" w:rsidRPr="00755127" w:rsidRDefault="00755127" w:rsidP="005F0BD5">
      <w:pPr>
        <w:rPr>
          <w:rFonts w:eastAsiaTheme="minorEastAsia"/>
          <w:bCs/>
          <w:iCs/>
          <w:noProof/>
          <w:lang w:eastAsia="sk-SK"/>
        </w:rPr>
      </w:pPr>
    </w:p>
    <w:p w:rsidR="00561E56" w:rsidRPr="00AC67D9" w:rsidRDefault="00EF13F2" w:rsidP="005F0BD5">
      <w:pPr>
        <w:rPr>
          <w:rFonts w:eastAsiaTheme="minorEastAsia"/>
          <w:b/>
          <w:bCs/>
          <w:iCs/>
          <w:noProof/>
          <w:lang w:eastAsia="sk-SK"/>
        </w:rPr>
      </w:pPr>
      <w:r>
        <w:rPr>
          <w:rFonts w:eastAsiaTheme="minorEastAsia"/>
          <w:bCs/>
          <w:iCs/>
          <w:noProof/>
          <w:lang w:eastAsia="sk-SK"/>
        </w:rPr>
        <w:t xml:space="preserve">3. Finančný pokrok v realizácii aktivít </w:t>
      </w:r>
    </w:p>
    <w:tbl>
      <w:tblPr>
        <w:tblStyle w:val="Mriekatabuky"/>
        <w:tblW w:w="10490" w:type="dxa"/>
        <w:tblInd w:w="-601" w:type="dxa"/>
        <w:tblLook w:val="04A0" w:firstRow="1" w:lastRow="0" w:firstColumn="1" w:lastColumn="0" w:noHBand="0" w:noVBand="1"/>
      </w:tblPr>
      <w:tblGrid>
        <w:gridCol w:w="1845"/>
        <w:gridCol w:w="2833"/>
        <w:gridCol w:w="2835"/>
        <w:gridCol w:w="2977"/>
      </w:tblGrid>
      <w:tr w:rsidR="004B4C86" w:rsidRPr="00AC67D9" w:rsidTr="00C778B8">
        <w:tc>
          <w:tcPr>
            <w:tcW w:w="10490" w:type="dxa"/>
            <w:gridSpan w:val="4"/>
            <w:shd w:val="clear" w:color="auto" w:fill="9BD4F9" w:themeFill="background2" w:themeFillShade="E6"/>
            <w:vAlign w:val="center"/>
          </w:tcPr>
          <w:p w:rsidR="004B4C86" w:rsidRPr="00AC67D9" w:rsidRDefault="004B4C86" w:rsidP="00D34B67">
            <w:pPr>
              <w:jc w:val="center"/>
              <w:rPr>
                <w:rFonts w:eastAsiaTheme="minorEastAsia"/>
                <w:b/>
                <w:bCs/>
                <w:iCs/>
                <w:noProof/>
                <w:lang w:eastAsia="sk-SK"/>
              </w:rPr>
            </w:pPr>
            <w:r w:rsidRPr="00AC67D9">
              <w:rPr>
                <w:rFonts w:eastAsiaTheme="minorEastAsia"/>
                <w:b/>
                <w:bCs/>
                <w:iCs/>
                <w:noProof/>
                <w:lang w:eastAsia="sk-SK"/>
              </w:rPr>
              <w:t>Finančný pokrok v realizácii aktivít</w:t>
            </w:r>
            <w:r>
              <w:rPr>
                <w:rFonts w:eastAsiaTheme="minorEastAsia"/>
                <w:b/>
                <w:bCs/>
                <w:iCs/>
                <w:noProof/>
                <w:vertAlign w:val="superscript"/>
                <w:lang w:eastAsia="sk-SK"/>
              </w:rPr>
              <w:t>2</w:t>
            </w:r>
          </w:p>
        </w:tc>
      </w:tr>
      <w:tr w:rsidR="004B4C86" w:rsidRPr="0065201F" w:rsidTr="00C778B8">
        <w:tc>
          <w:tcPr>
            <w:tcW w:w="10490" w:type="dxa"/>
            <w:gridSpan w:val="4"/>
            <w:tcBorders>
              <w:bottom w:val="single" w:sz="4" w:space="0" w:color="auto"/>
            </w:tcBorders>
            <w:shd w:val="clear" w:color="auto" w:fill="9BD4F9" w:themeFill="background2" w:themeFillShade="E6"/>
            <w:vAlign w:val="center"/>
          </w:tcPr>
          <w:p w:rsidR="004B4C86" w:rsidRPr="0065201F" w:rsidRDefault="004B4C86" w:rsidP="00D34B67">
            <w:pPr>
              <w:jc w:val="center"/>
              <w:rPr>
                <w:b/>
              </w:rPr>
            </w:pPr>
            <w:r w:rsidRPr="0065201F">
              <w:rPr>
                <w:b/>
              </w:rPr>
              <w:t>Hlavné aktivity</w:t>
            </w:r>
          </w:p>
        </w:tc>
      </w:tr>
      <w:tr w:rsidR="004B4C86" w:rsidTr="00C778B8">
        <w:tc>
          <w:tcPr>
            <w:tcW w:w="1845" w:type="dxa"/>
            <w:tcBorders>
              <w:bottom w:val="single" w:sz="4" w:space="0" w:color="auto"/>
            </w:tcBorders>
            <w:shd w:val="clear" w:color="auto" w:fill="9BD4F9" w:themeFill="background2" w:themeFillShade="E6"/>
            <w:vAlign w:val="center"/>
          </w:tcPr>
          <w:p w:rsidR="004B4C86" w:rsidRPr="00430090" w:rsidRDefault="00F10985" w:rsidP="00430090">
            <w:pPr>
              <w:jc w:val="center"/>
              <w:rPr>
                <w:b/>
              </w:rPr>
            </w:pPr>
            <w:r>
              <w:rPr>
                <w:b/>
              </w:rPr>
              <w:t xml:space="preserve">Názov aktivity </w:t>
            </w:r>
          </w:p>
        </w:tc>
        <w:tc>
          <w:tcPr>
            <w:tcW w:w="2833" w:type="dxa"/>
            <w:shd w:val="clear" w:color="auto" w:fill="9BD4F9" w:themeFill="background2" w:themeFillShade="E6"/>
            <w:vAlign w:val="center"/>
          </w:tcPr>
          <w:p w:rsidR="004B4C86" w:rsidRPr="00430090" w:rsidRDefault="004B4C86" w:rsidP="00D939DF">
            <w:pPr>
              <w:jc w:val="center"/>
              <w:rPr>
                <w:b/>
              </w:rPr>
            </w:pPr>
            <w:r w:rsidRPr="00430090">
              <w:rPr>
                <w:b/>
              </w:rPr>
              <w:t>Vyčerpaná</w:t>
            </w:r>
            <w:r w:rsidR="00D939DF" w:rsidRPr="00430090">
              <w:rPr>
                <w:b/>
              </w:rPr>
              <w:t xml:space="preserve"> </w:t>
            </w:r>
            <w:r w:rsidR="00D939DF">
              <w:rPr>
                <w:b/>
              </w:rPr>
              <w:t>s</w:t>
            </w:r>
            <w:r w:rsidR="00D939DF" w:rsidRPr="00430090">
              <w:rPr>
                <w:b/>
              </w:rPr>
              <w:t>uma NFP</w:t>
            </w:r>
          </w:p>
        </w:tc>
        <w:tc>
          <w:tcPr>
            <w:tcW w:w="2835" w:type="dxa"/>
            <w:shd w:val="clear" w:color="auto" w:fill="9BD4F9" w:themeFill="background2" w:themeFillShade="E6"/>
            <w:vAlign w:val="center"/>
          </w:tcPr>
          <w:p w:rsidR="004B4C86" w:rsidRPr="00430090" w:rsidRDefault="004B4C86" w:rsidP="00430090">
            <w:pPr>
              <w:jc w:val="center"/>
              <w:rPr>
                <w:b/>
              </w:rPr>
            </w:pPr>
            <w:r w:rsidRPr="00430090">
              <w:rPr>
                <w:b/>
              </w:rPr>
              <w:t>Zostatok</w:t>
            </w:r>
          </w:p>
        </w:tc>
        <w:tc>
          <w:tcPr>
            <w:tcW w:w="2977" w:type="dxa"/>
            <w:shd w:val="clear" w:color="auto" w:fill="9BD4F9" w:themeFill="background2" w:themeFillShade="E6"/>
            <w:vAlign w:val="center"/>
          </w:tcPr>
          <w:p w:rsidR="004B4C86" w:rsidRPr="00430090" w:rsidRDefault="004B4C86" w:rsidP="00430090">
            <w:pPr>
              <w:jc w:val="center"/>
              <w:rPr>
                <w:b/>
              </w:rPr>
            </w:pPr>
            <w:r>
              <w:rPr>
                <w:b/>
              </w:rPr>
              <w:t>Odhad nedočerpania</w:t>
            </w:r>
          </w:p>
        </w:tc>
      </w:tr>
      <w:tr w:rsidR="00763AA8" w:rsidTr="00C778B8">
        <w:tc>
          <w:tcPr>
            <w:tcW w:w="1845" w:type="dxa"/>
            <w:shd w:val="clear" w:color="auto" w:fill="9BD4F9" w:themeFill="background2" w:themeFillShade="E6"/>
            <w:vAlign w:val="center"/>
          </w:tcPr>
          <w:p w:rsidR="00763AA8" w:rsidRDefault="00763AA8" w:rsidP="00D34B67">
            <w:r w:rsidRPr="006D6EB3">
              <w:t>Aktivita 1.1 Etablovanie UVP TECHNICOM v súlade s adekvátnymi princípmi vedeckého manažmentu.</w:t>
            </w:r>
          </w:p>
        </w:tc>
        <w:tc>
          <w:tcPr>
            <w:tcW w:w="2833" w:type="dxa"/>
            <w:vAlign w:val="center"/>
          </w:tcPr>
          <w:p w:rsidR="00763AA8" w:rsidRDefault="00C778B8" w:rsidP="00C778B8">
            <w:pPr>
              <w:jc w:val="right"/>
            </w:pPr>
            <w:r>
              <w:t>2 416,44</w:t>
            </w:r>
          </w:p>
        </w:tc>
        <w:tc>
          <w:tcPr>
            <w:tcW w:w="2835" w:type="dxa"/>
            <w:vAlign w:val="center"/>
          </w:tcPr>
          <w:p w:rsidR="00763AA8" w:rsidRDefault="00C778B8" w:rsidP="00C778B8">
            <w:pPr>
              <w:jc w:val="right"/>
            </w:pPr>
            <w:r>
              <w:t>15 679,56</w:t>
            </w:r>
          </w:p>
        </w:tc>
        <w:tc>
          <w:tcPr>
            <w:tcW w:w="2977" w:type="dxa"/>
            <w:vAlign w:val="center"/>
          </w:tcPr>
          <w:p w:rsidR="00763AA8" w:rsidRDefault="00763AA8" w:rsidP="00C778B8">
            <w:pPr>
              <w:jc w:val="right"/>
            </w:pPr>
          </w:p>
        </w:tc>
      </w:tr>
      <w:tr w:rsidR="00763AA8" w:rsidTr="00C778B8">
        <w:tc>
          <w:tcPr>
            <w:tcW w:w="1845" w:type="dxa"/>
            <w:shd w:val="clear" w:color="auto" w:fill="9BD4F9" w:themeFill="background2" w:themeFillShade="E6"/>
            <w:vAlign w:val="center"/>
          </w:tcPr>
          <w:p w:rsidR="00763AA8" w:rsidRDefault="00763AA8" w:rsidP="00D34B67">
            <w:r w:rsidRPr="006D6EB3">
              <w:t>Aktivita 1.2 Metodická, odborná a realizačná podpora riešenia predkladaného projektu</w:t>
            </w:r>
          </w:p>
        </w:tc>
        <w:tc>
          <w:tcPr>
            <w:tcW w:w="2833" w:type="dxa"/>
            <w:vAlign w:val="center"/>
          </w:tcPr>
          <w:p w:rsidR="00763AA8" w:rsidRDefault="00C778B8" w:rsidP="00C778B8">
            <w:pPr>
              <w:jc w:val="right"/>
            </w:pPr>
            <w:r>
              <w:t>508,15</w:t>
            </w:r>
          </w:p>
        </w:tc>
        <w:tc>
          <w:tcPr>
            <w:tcW w:w="2835" w:type="dxa"/>
            <w:vAlign w:val="center"/>
          </w:tcPr>
          <w:p w:rsidR="00763AA8" w:rsidRDefault="00C778B8" w:rsidP="00C778B8">
            <w:pPr>
              <w:jc w:val="right"/>
            </w:pPr>
            <w:r>
              <w:t>13 337,05</w:t>
            </w:r>
          </w:p>
        </w:tc>
        <w:tc>
          <w:tcPr>
            <w:tcW w:w="2977" w:type="dxa"/>
            <w:vAlign w:val="center"/>
          </w:tcPr>
          <w:p w:rsidR="00763AA8" w:rsidRDefault="00763AA8" w:rsidP="00C778B8">
            <w:pPr>
              <w:jc w:val="right"/>
            </w:pPr>
          </w:p>
        </w:tc>
      </w:tr>
      <w:tr w:rsidR="00763AA8" w:rsidTr="00C778B8">
        <w:tc>
          <w:tcPr>
            <w:tcW w:w="1845" w:type="dxa"/>
            <w:shd w:val="clear" w:color="auto" w:fill="9BD4F9" w:themeFill="background2" w:themeFillShade="E6"/>
            <w:vAlign w:val="center"/>
          </w:tcPr>
          <w:p w:rsidR="00763AA8" w:rsidRDefault="00763AA8" w:rsidP="00D34B67">
            <w:r w:rsidRPr="006D6EB3">
              <w:t>Aktivita 1.3 Príprava a zabezpečenie služieb pre udržateľný chod UVP TECHNICOM</w:t>
            </w:r>
          </w:p>
        </w:tc>
        <w:tc>
          <w:tcPr>
            <w:tcW w:w="2833" w:type="dxa"/>
            <w:vAlign w:val="center"/>
          </w:tcPr>
          <w:p w:rsidR="00763AA8" w:rsidRDefault="00C778B8" w:rsidP="00C778B8">
            <w:pPr>
              <w:jc w:val="right"/>
            </w:pPr>
            <w:r>
              <w:t>0</w:t>
            </w:r>
          </w:p>
        </w:tc>
        <w:tc>
          <w:tcPr>
            <w:tcW w:w="2835" w:type="dxa"/>
            <w:vAlign w:val="center"/>
          </w:tcPr>
          <w:p w:rsidR="00763AA8" w:rsidRDefault="00C778B8" w:rsidP="00C778B8">
            <w:pPr>
              <w:jc w:val="right"/>
            </w:pPr>
            <w:r>
              <w:t>19 603,44</w:t>
            </w:r>
          </w:p>
        </w:tc>
        <w:tc>
          <w:tcPr>
            <w:tcW w:w="2977" w:type="dxa"/>
            <w:vAlign w:val="center"/>
          </w:tcPr>
          <w:p w:rsidR="00763AA8" w:rsidRDefault="00763AA8" w:rsidP="00C778B8">
            <w:pPr>
              <w:jc w:val="right"/>
            </w:pPr>
          </w:p>
        </w:tc>
      </w:tr>
      <w:tr w:rsidR="00763AA8" w:rsidTr="00C778B8">
        <w:tc>
          <w:tcPr>
            <w:tcW w:w="1845" w:type="dxa"/>
            <w:shd w:val="clear" w:color="auto" w:fill="9BD4F9" w:themeFill="background2" w:themeFillShade="E6"/>
            <w:vAlign w:val="center"/>
          </w:tcPr>
          <w:p w:rsidR="00763AA8" w:rsidRDefault="00763AA8" w:rsidP="00D34B67">
            <w:r w:rsidRPr="006D6EB3">
              <w:t>Aktivita 2.1. Vybudovanie stavebných objektov a príslušnej infraštruktúry v areáli TUKE</w:t>
            </w:r>
          </w:p>
        </w:tc>
        <w:tc>
          <w:tcPr>
            <w:tcW w:w="2833" w:type="dxa"/>
            <w:vAlign w:val="center"/>
          </w:tcPr>
          <w:p w:rsidR="00763AA8" w:rsidRDefault="00763AA8" w:rsidP="00C778B8">
            <w:pPr>
              <w:jc w:val="right"/>
            </w:pPr>
          </w:p>
          <w:p w:rsidR="00763AA8" w:rsidRDefault="00763AA8" w:rsidP="00C778B8">
            <w:pPr>
              <w:jc w:val="right"/>
            </w:pPr>
          </w:p>
        </w:tc>
        <w:tc>
          <w:tcPr>
            <w:tcW w:w="2835" w:type="dxa"/>
            <w:vAlign w:val="center"/>
          </w:tcPr>
          <w:p w:rsidR="00763AA8" w:rsidRDefault="00763AA8" w:rsidP="00C778B8">
            <w:pPr>
              <w:jc w:val="right"/>
            </w:pPr>
          </w:p>
        </w:tc>
        <w:tc>
          <w:tcPr>
            <w:tcW w:w="2977" w:type="dxa"/>
            <w:vAlign w:val="center"/>
          </w:tcPr>
          <w:p w:rsidR="00763AA8" w:rsidRDefault="00763AA8" w:rsidP="00C778B8">
            <w:pPr>
              <w:jc w:val="right"/>
            </w:pPr>
          </w:p>
        </w:tc>
      </w:tr>
      <w:tr w:rsidR="00763AA8" w:rsidTr="00C778B8">
        <w:tc>
          <w:tcPr>
            <w:tcW w:w="1845" w:type="dxa"/>
            <w:shd w:val="clear" w:color="auto" w:fill="9BD4F9" w:themeFill="background2" w:themeFillShade="E6"/>
            <w:vAlign w:val="center"/>
          </w:tcPr>
          <w:p w:rsidR="00763AA8" w:rsidRDefault="00763AA8" w:rsidP="00D34B67">
            <w:r w:rsidRPr="006D6EB3">
              <w:t>Aktivita 2.2. Vybavenie objektov UVP na TUKE prístrojovou, IKT a špecializovanou technikou pre potreby VaV</w:t>
            </w:r>
          </w:p>
        </w:tc>
        <w:tc>
          <w:tcPr>
            <w:tcW w:w="2833" w:type="dxa"/>
            <w:vAlign w:val="center"/>
          </w:tcPr>
          <w:p w:rsidR="00763AA8" w:rsidRDefault="00763AA8" w:rsidP="00C778B8">
            <w:pPr>
              <w:jc w:val="right"/>
            </w:pPr>
          </w:p>
          <w:p w:rsidR="00763AA8" w:rsidRDefault="00763AA8" w:rsidP="00C778B8">
            <w:pPr>
              <w:jc w:val="right"/>
            </w:pPr>
          </w:p>
        </w:tc>
        <w:tc>
          <w:tcPr>
            <w:tcW w:w="2835" w:type="dxa"/>
            <w:vAlign w:val="center"/>
          </w:tcPr>
          <w:p w:rsidR="00763AA8" w:rsidRDefault="00763AA8" w:rsidP="00C778B8">
            <w:pPr>
              <w:jc w:val="right"/>
            </w:pPr>
          </w:p>
        </w:tc>
        <w:tc>
          <w:tcPr>
            <w:tcW w:w="2977" w:type="dxa"/>
            <w:vAlign w:val="center"/>
          </w:tcPr>
          <w:p w:rsidR="00763AA8" w:rsidRDefault="00763AA8" w:rsidP="00C778B8">
            <w:pPr>
              <w:jc w:val="right"/>
            </w:pPr>
          </w:p>
        </w:tc>
      </w:tr>
      <w:tr w:rsidR="00763AA8" w:rsidTr="00C778B8">
        <w:tc>
          <w:tcPr>
            <w:tcW w:w="1845" w:type="dxa"/>
            <w:shd w:val="clear" w:color="auto" w:fill="9BD4F9" w:themeFill="background2" w:themeFillShade="E6"/>
            <w:vAlign w:val="center"/>
          </w:tcPr>
          <w:p w:rsidR="00763AA8" w:rsidRDefault="00763AA8" w:rsidP="00D34B67">
            <w:r w:rsidRPr="006D6EB3">
              <w:t xml:space="preserve">Aktivita 2.3 Nadstavba, zateplenie a modernizácia časti UVP TECHNICOM na </w:t>
            </w:r>
            <w:r w:rsidRPr="006D6EB3">
              <w:lastRenderedPageBreak/>
              <w:t>Jesennej 5 v</w:t>
            </w:r>
            <w:r w:rsidR="00C778B8">
              <w:t> </w:t>
            </w:r>
            <w:r w:rsidRPr="006D6EB3">
              <w:t>Košiciach</w:t>
            </w:r>
          </w:p>
        </w:tc>
        <w:tc>
          <w:tcPr>
            <w:tcW w:w="2833" w:type="dxa"/>
            <w:vAlign w:val="center"/>
          </w:tcPr>
          <w:p w:rsidR="00C778B8" w:rsidRDefault="00C778B8" w:rsidP="00C778B8">
            <w:pPr>
              <w:jc w:val="right"/>
            </w:pPr>
            <w:r>
              <w:lastRenderedPageBreak/>
              <w:t>0</w:t>
            </w:r>
          </w:p>
          <w:p w:rsidR="00763AA8" w:rsidRDefault="00763AA8" w:rsidP="00C778B8">
            <w:pPr>
              <w:jc w:val="right"/>
            </w:pPr>
          </w:p>
        </w:tc>
        <w:tc>
          <w:tcPr>
            <w:tcW w:w="2835" w:type="dxa"/>
            <w:vAlign w:val="center"/>
          </w:tcPr>
          <w:p w:rsidR="00763AA8" w:rsidRDefault="00C778B8" w:rsidP="00C778B8">
            <w:pPr>
              <w:jc w:val="right"/>
            </w:pPr>
            <w:r>
              <w:t>789 105,22</w:t>
            </w:r>
          </w:p>
        </w:tc>
        <w:tc>
          <w:tcPr>
            <w:tcW w:w="2977" w:type="dxa"/>
            <w:vAlign w:val="center"/>
          </w:tcPr>
          <w:p w:rsidR="00763AA8" w:rsidRDefault="00763AA8" w:rsidP="00C778B8">
            <w:pPr>
              <w:jc w:val="right"/>
            </w:pPr>
          </w:p>
        </w:tc>
      </w:tr>
      <w:tr w:rsidR="00763AA8" w:rsidTr="00C778B8">
        <w:tc>
          <w:tcPr>
            <w:tcW w:w="1845" w:type="dxa"/>
            <w:shd w:val="clear" w:color="auto" w:fill="9BD4F9" w:themeFill="background2" w:themeFillShade="E6"/>
            <w:vAlign w:val="center"/>
          </w:tcPr>
          <w:p w:rsidR="00763AA8" w:rsidRDefault="00763AA8" w:rsidP="00D34B67">
            <w:r w:rsidRPr="006D6EB3">
              <w:lastRenderedPageBreak/>
              <w:t>Aktivita 2.4  Vybavenie UVP TECHNICOM Jesenná 5 infraštruktúrou potrebnou k realizácii aplikovaného výskumu</w:t>
            </w:r>
          </w:p>
        </w:tc>
        <w:tc>
          <w:tcPr>
            <w:tcW w:w="2833" w:type="dxa"/>
            <w:vAlign w:val="center"/>
          </w:tcPr>
          <w:p w:rsidR="00763AA8" w:rsidRDefault="00C778B8" w:rsidP="00C778B8">
            <w:pPr>
              <w:jc w:val="right"/>
            </w:pPr>
            <w:r>
              <w:t>0</w:t>
            </w:r>
          </w:p>
        </w:tc>
        <w:tc>
          <w:tcPr>
            <w:tcW w:w="2835" w:type="dxa"/>
            <w:vAlign w:val="center"/>
          </w:tcPr>
          <w:p w:rsidR="00763AA8" w:rsidRDefault="00C778B8" w:rsidP="00C778B8">
            <w:pPr>
              <w:jc w:val="right"/>
            </w:pPr>
            <w:r>
              <w:t>2 480 367,85</w:t>
            </w:r>
          </w:p>
        </w:tc>
        <w:tc>
          <w:tcPr>
            <w:tcW w:w="2977" w:type="dxa"/>
            <w:vAlign w:val="center"/>
          </w:tcPr>
          <w:p w:rsidR="00763AA8" w:rsidRDefault="00763AA8" w:rsidP="00C778B8">
            <w:pPr>
              <w:jc w:val="right"/>
            </w:pPr>
          </w:p>
        </w:tc>
      </w:tr>
      <w:tr w:rsidR="00763AA8" w:rsidTr="00C778B8">
        <w:tc>
          <w:tcPr>
            <w:tcW w:w="1845" w:type="dxa"/>
            <w:tcBorders>
              <w:bottom w:val="single" w:sz="4" w:space="0" w:color="auto"/>
            </w:tcBorders>
            <w:shd w:val="clear" w:color="auto" w:fill="9BD4F9" w:themeFill="background2" w:themeFillShade="E6"/>
            <w:vAlign w:val="center"/>
          </w:tcPr>
          <w:p w:rsidR="00763AA8" w:rsidRDefault="00763AA8" w:rsidP="00D34B67">
            <w:r w:rsidRPr="006D6EB3">
              <w:t>Aktivita 2.5 Výstavba nových výskumných priestorov partnera Prešovská univerzita - UNIPOLAB</w:t>
            </w:r>
          </w:p>
        </w:tc>
        <w:tc>
          <w:tcPr>
            <w:tcW w:w="2833" w:type="dxa"/>
            <w:tcBorders>
              <w:bottom w:val="single" w:sz="4" w:space="0" w:color="auto"/>
            </w:tcBorders>
            <w:vAlign w:val="center"/>
          </w:tcPr>
          <w:p w:rsidR="00763AA8" w:rsidRDefault="00763AA8" w:rsidP="00C778B8">
            <w:pPr>
              <w:jc w:val="right"/>
            </w:pPr>
          </w:p>
          <w:p w:rsidR="00763AA8" w:rsidRDefault="00763AA8" w:rsidP="00C778B8">
            <w:pPr>
              <w:jc w:val="right"/>
            </w:pPr>
          </w:p>
        </w:tc>
        <w:tc>
          <w:tcPr>
            <w:tcW w:w="2835" w:type="dxa"/>
            <w:tcBorders>
              <w:bottom w:val="single" w:sz="4" w:space="0" w:color="auto"/>
            </w:tcBorders>
            <w:vAlign w:val="center"/>
          </w:tcPr>
          <w:p w:rsidR="00763AA8" w:rsidRDefault="00763AA8" w:rsidP="00C778B8">
            <w:pPr>
              <w:jc w:val="right"/>
            </w:pPr>
          </w:p>
        </w:tc>
        <w:tc>
          <w:tcPr>
            <w:tcW w:w="2977" w:type="dxa"/>
            <w:tcBorders>
              <w:bottom w:val="single" w:sz="4" w:space="0" w:color="auto"/>
            </w:tcBorders>
            <w:vAlign w:val="center"/>
          </w:tcPr>
          <w:p w:rsidR="00763AA8" w:rsidRDefault="00763AA8" w:rsidP="00C778B8">
            <w:pPr>
              <w:jc w:val="right"/>
            </w:pPr>
          </w:p>
        </w:tc>
      </w:tr>
      <w:tr w:rsidR="00763AA8" w:rsidTr="00C778B8">
        <w:tc>
          <w:tcPr>
            <w:tcW w:w="1845" w:type="dxa"/>
            <w:tcBorders>
              <w:bottom w:val="single" w:sz="4" w:space="0" w:color="auto"/>
            </w:tcBorders>
            <w:shd w:val="clear" w:color="auto" w:fill="9BD4F9" w:themeFill="background2" w:themeFillShade="E6"/>
            <w:vAlign w:val="center"/>
          </w:tcPr>
          <w:p w:rsidR="00763AA8" w:rsidRDefault="00763AA8" w:rsidP="00D34B67">
            <w:r w:rsidRPr="006D6EB3">
              <w:t>Aktivita 2.6  Vybavenie priestorov partnera PU nevyhnutnou prístrojovou, laboratórnou a IKT infraštruktúrou</w:t>
            </w:r>
          </w:p>
        </w:tc>
        <w:tc>
          <w:tcPr>
            <w:tcW w:w="2833" w:type="dxa"/>
            <w:tcBorders>
              <w:bottom w:val="single" w:sz="4" w:space="0" w:color="auto"/>
            </w:tcBorders>
            <w:vAlign w:val="center"/>
          </w:tcPr>
          <w:p w:rsidR="00763AA8" w:rsidRDefault="00763AA8" w:rsidP="00C778B8">
            <w:pPr>
              <w:jc w:val="right"/>
            </w:pPr>
          </w:p>
        </w:tc>
        <w:tc>
          <w:tcPr>
            <w:tcW w:w="2835" w:type="dxa"/>
            <w:tcBorders>
              <w:bottom w:val="single" w:sz="4" w:space="0" w:color="auto"/>
            </w:tcBorders>
            <w:vAlign w:val="center"/>
          </w:tcPr>
          <w:p w:rsidR="00763AA8" w:rsidRDefault="00763AA8" w:rsidP="00C778B8">
            <w:pPr>
              <w:jc w:val="right"/>
            </w:pPr>
          </w:p>
        </w:tc>
        <w:tc>
          <w:tcPr>
            <w:tcW w:w="2977" w:type="dxa"/>
            <w:tcBorders>
              <w:bottom w:val="single" w:sz="4" w:space="0" w:color="auto"/>
            </w:tcBorders>
            <w:vAlign w:val="center"/>
          </w:tcPr>
          <w:p w:rsidR="00763AA8" w:rsidRDefault="00763AA8" w:rsidP="00C778B8">
            <w:pPr>
              <w:jc w:val="right"/>
            </w:pPr>
          </w:p>
        </w:tc>
      </w:tr>
      <w:tr w:rsidR="00763AA8" w:rsidTr="00C778B8">
        <w:tc>
          <w:tcPr>
            <w:tcW w:w="1845" w:type="dxa"/>
            <w:tcBorders>
              <w:bottom w:val="single" w:sz="4" w:space="0" w:color="auto"/>
            </w:tcBorders>
            <w:shd w:val="clear" w:color="auto" w:fill="9BD4F9" w:themeFill="background2" w:themeFillShade="E6"/>
            <w:vAlign w:val="center"/>
          </w:tcPr>
          <w:p w:rsidR="00763AA8" w:rsidRDefault="00763AA8" w:rsidP="00D34B67">
            <w:r w:rsidRPr="006D6EB3">
              <w:t>Aktivita 3.1 Pilotné projekty v odbore  Informačné a komunikačné technológie</w:t>
            </w:r>
          </w:p>
        </w:tc>
        <w:tc>
          <w:tcPr>
            <w:tcW w:w="2833" w:type="dxa"/>
            <w:tcBorders>
              <w:bottom w:val="single" w:sz="4" w:space="0" w:color="auto"/>
            </w:tcBorders>
            <w:vAlign w:val="center"/>
          </w:tcPr>
          <w:p w:rsidR="00763AA8" w:rsidRDefault="00763AA8" w:rsidP="00C778B8">
            <w:pPr>
              <w:jc w:val="right"/>
            </w:pPr>
          </w:p>
        </w:tc>
        <w:tc>
          <w:tcPr>
            <w:tcW w:w="2835" w:type="dxa"/>
            <w:tcBorders>
              <w:bottom w:val="single" w:sz="4" w:space="0" w:color="auto"/>
            </w:tcBorders>
            <w:vAlign w:val="center"/>
          </w:tcPr>
          <w:p w:rsidR="00763AA8" w:rsidRDefault="00763AA8" w:rsidP="00C778B8">
            <w:pPr>
              <w:jc w:val="right"/>
            </w:pPr>
          </w:p>
        </w:tc>
        <w:tc>
          <w:tcPr>
            <w:tcW w:w="2977" w:type="dxa"/>
            <w:tcBorders>
              <w:bottom w:val="single" w:sz="4" w:space="0" w:color="auto"/>
            </w:tcBorders>
            <w:vAlign w:val="center"/>
          </w:tcPr>
          <w:p w:rsidR="00763AA8" w:rsidRDefault="00763AA8" w:rsidP="00C778B8">
            <w:pPr>
              <w:jc w:val="right"/>
            </w:pPr>
          </w:p>
        </w:tc>
      </w:tr>
      <w:tr w:rsidR="00763AA8" w:rsidTr="00C778B8">
        <w:tc>
          <w:tcPr>
            <w:tcW w:w="1845" w:type="dxa"/>
            <w:tcBorders>
              <w:bottom w:val="single" w:sz="4" w:space="0" w:color="auto"/>
            </w:tcBorders>
            <w:shd w:val="clear" w:color="auto" w:fill="9BD4F9" w:themeFill="background2" w:themeFillShade="E6"/>
            <w:vAlign w:val="center"/>
          </w:tcPr>
          <w:p w:rsidR="00763AA8" w:rsidRDefault="00763AA8" w:rsidP="00D34B67">
            <w:r w:rsidRPr="006D6EB3">
              <w:t>Aktivita 3.2 Pilotné projekty v odbore Elektrotechnika, automatizácia a riadiace systémy</w:t>
            </w:r>
          </w:p>
        </w:tc>
        <w:tc>
          <w:tcPr>
            <w:tcW w:w="2833" w:type="dxa"/>
            <w:tcBorders>
              <w:bottom w:val="single" w:sz="4" w:space="0" w:color="auto"/>
            </w:tcBorders>
            <w:vAlign w:val="center"/>
          </w:tcPr>
          <w:p w:rsidR="00763AA8" w:rsidRDefault="00763AA8" w:rsidP="00C778B8">
            <w:pPr>
              <w:jc w:val="right"/>
            </w:pPr>
          </w:p>
        </w:tc>
        <w:tc>
          <w:tcPr>
            <w:tcW w:w="2835" w:type="dxa"/>
            <w:tcBorders>
              <w:bottom w:val="single" w:sz="4" w:space="0" w:color="auto"/>
            </w:tcBorders>
            <w:vAlign w:val="center"/>
          </w:tcPr>
          <w:p w:rsidR="00763AA8" w:rsidRDefault="00763AA8" w:rsidP="00C778B8">
            <w:pPr>
              <w:jc w:val="right"/>
            </w:pPr>
          </w:p>
        </w:tc>
        <w:tc>
          <w:tcPr>
            <w:tcW w:w="2977" w:type="dxa"/>
            <w:tcBorders>
              <w:bottom w:val="single" w:sz="4" w:space="0" w:color="auto"/>
            </w:tcBorders>
            <w:vAlign w:val="center"/>
          </w:tcPr>
          <w:p w:rsidR="00763AA8" w:rsidRDefault="00763AA8" w:rsidP="00C778B8">
            <w:pPr>
              <w:jc w:val="right"/>
            </w:pPr>
          </w:p>
        </w:tc>
      </w:tr>
      <w:tr w:rsidR="00763AA8" w:rsidTr="00C778B8">
        <w:tc>
          <w:tcPr>
            <w:tcW w:w="1845" w:type="dxa"/>
            <w:tcBorders>
              <w:bottom w:val="single" w:sz="4" w:space="0" w:color="auto"/>
            </w:tcBorders>
            <w:shd w:val="clear" w:color="auto" w:fill="9BD4F9" w:themeFill="background2" w:themeFillShade="E6"/>
            <w:vAlign w:val="center"/>
          </w:tcPr>
          <w:p w:rsidR="00763AA8" w:rsidRDefault="00763AA8" w:rsidP="00D34B67">
            <w:r w:rsidRPr="006D6EB3">
              <w:t>Aktivita 3.3 Pilotné projekty v odbore Strojárstvo</w:t>
            </w:r>
          </w:p>
        </w:tc>
        <w:tc>
          <w:tcPr>
            <w:tcW w:w="2833" w:type="dxa"/>
            <w:tcBorders>
              <w:bottom w:val="single" w:sz="4" w:space="0" w:color="auto"/>
            </w:tcBorders>
            <w:vAlign w:val="center"/>
          </w:tcPr>
          <w:p w:rsidR="00763AA8" w:rsidRDefault="00763AA8" w:rsidP="00C778B8">
            <w:pPr>
              <w:jc w:val="right"/>
            </w:pPr>
          </w:p>
        </w:tc>
        <w:tc>
          <w:tcPr>
            <w:tcW w:w="2835" w:type="dxa"/>
            <w:tcBorders>
              <w:bottom w:val="single" w:sz="4" w:space="0" w:color="auto"/>
            </w:tcBorders>
            <w:vAlign w:val="center"/>
          </w:tcPr>
          <w:p w:rsidR="00763AA8" w:rsidRDefault="00763AA8" w:rsidP="00C778B8">
            <w:pPr>
              <w:jc w:val="right"/>
            </w:pPr>
          </w:p>
        </w:tc>
        <w:tc>
          <w:tcPr>
            <w:tcW w:w="2977" w:type="dxa"/>
            <w:tcBorders>
              <w:bottom w:val="single" w:sz="4" w:space="0" w:color="auto"/>
            </w:tcBorders>
            <w:vAlign w:val="center"/>
          </w:tcPr>
          <w:p w:rsidR="00763AA8" w:rsidRDefault="00763AA8" w:rsidP="00C778B8">
            <w:pPr>
              <w:jc w:val="right"/>
            </w:pPr>
          </w:p>
        </w:tc>
      </w:tr>
      <w:tr w:rsidR="00763AA8" w:rsidTr="00C778B8">
        <w:tc>
          <w:tcPr>
            <w:tcW w:w="1845" w:type="dxa"/>
            <w:tcBorders>
              <w:bottom w:val="single" w:sz="4" w:space="0" w:color="auto"/>
            </w:tcBorders>
            <w:shd w:val="clear" w:color="auto" w:fill="9BD4F9" w:themeFill="background2" w:themeFillShade="E6"/>
            <w:vAlign w:val="center"/>
          </w:tcPr>
          <w:p w:rsidR="00763AA8" w:rsidRDefault="00763AA8" w:rsidP="00D34B67">
            <w:r w:rsidRPr="006D6EB3">
              <w:t>Aktivita 3.4 Pilotné projekty v odbore Stavebné inžinierstvo</w:t>
            </w:r>
          </w:p>
        </w:tc>
        <w:tc>
          <w:tcPr>
            <w:tcW w:w="2833" w:type="dxa"/>
            <w:tcBorders>
              <w:bottom w:val="single" w:sz="4" w:space="0" w:color="auto"/>
            </w:tcBorders>
            <w:vAlign w:val="center"/>
          </w:tcPr>
          <w:p w:rsidR="00763AA8" w:rsidRDefault="00763AA8" w:rsidP="00C778B8">
            <w:pPr>
              <w:jc w:val="right"/>
            </w:pPr>
          </w:p>
        </w:tc>
        <w:tc>
          <w:tcPr>
            <w:tcW w:w="2835" w:type="dxa"/>
            <w:tcBorders>
              <w:bottom w:val="single" w:sz="4" w:space="0" w:color="auto"/>
            </w:tcBorders>
            <w:vAlign w:val="center"/>
          </w:tcPr>
          <w:p w:rsidR="00763AA8" w:rsidRDefault="00763AA8" w:rsidP="00C778B8">
            <w:pPr>
              <w:jc w:val="right"/>
            </w:pPr>
          </w:p>
        </w:tc>
        <w:tc>
          <w:tcPr>
            <w:tcW w:w="2977" w:type="dxa"/>
            <w:tcBorders>
              <w:bottom w:val="single" w:sz="4" w:space="0" w:color="auto"/>
            </w:tcBorders>
            <w:vAlign w:val="center"/>
          </w:tcPr>
          <w:p w:rsidR="00763AA8" w:rsidRDefault="00763AA8" w:rsidP="00C778B8">
            <w:pPr>
              <w:jc w:val="right"/>
            </w:pPr>
          </w:p>
        </w:tc>
      </w:tr>
      <w:tr w:rsidR="00763AA8" w:rsidTr="00C778B8">
        <w:tc>
          <w:tcPr>
            <w:tcW w:w="1845" w:type="dxa"/>
            <w:tcBorders>
              <w:bottom w:val="single" w:sz="4" w:space="0" w:color="auto"/>
            </w:tcBorders>
            <w:shd w:val="clear" w:color="auto" w:fill="9BD4F9" w:themeFill="background2" w:themeFillShade="E6"/>
            <w:vAlign w:val="center"/>
          </w:tcPr>
          <w:p w:rsidR="00763AA8" w:rsidRPr="006D6EB3" w:rsidRDefault="00763AA8" w:rsidP="00D34B67">
            <w:r w:rsidRPr="006D6EB3">
              <w:t xml:space="preserve">Aktivita 3.5 Pilotné projekty v </w:t>
            </w:r>
            <w:r w:rsidRPr="006D6EB3">
              <w:lastRenderedPageBreak/>
              <w:t>odbore Environmentálne inžinierstvo</w:t>
            </w:r>
          </w:p>
        </w:tc>
        <w:tc>
          <w:tcPr>
            <w:tcW w:w="2833" w:type="dxa"/>
            <w:tcBorders>
              <w:bottom w:val="single" w:sz="4" w:space="0" w:color="auto"/>
            </w:tcBorders>
            <w:vAlign w:val="center"/>
          </w:tcPr>
          <w:p w:rsidR="00763AA8" w:rsidRDefault="00763AA8" w:rsidP="00C778B8">
            <w:pPr>
              <w:jc w:val="right"/>
            </w:pPr>
          </w:p>
        </w:tc>
        <w:tc>
          <w:tcPr>
            <w:tcW w:w="2835" w:type="dxa"/>
            <w:tcBorders>
              <w:bottom w:val="single" w:sz="4" w:space="0" w:color="auto"/>
            </w:tcBorders>
            <w:vAlign w:val="center"/>
          </w:tcPr>
          <w:p w:rsidR="00763AA8" w:rsidRDefault="00763AA8" w:rsidP="00C778B8">
            <w:pPr>
              <w:jc w:val="right"/>
            </w:pPr>
          </w:p>
        </w:tc>
        <w:tc>
          <w:tcPr>
            <w:tcW w:w="2977" w:type="dxa"/>
            <w:tcBorders>
              <w:bottom w:val="single" w:sz="4" w:space="0" w:color="auto"/>
            </w:tcBorders>
            <w:vAlign w:val="center"/>
          </w:tcPr>
          <w:p w:rsidR="00763AA8" w:rsidRDefault="00763AA8" w:rsidP="00C778B8">
            <w:pPr>
              <w:jc w:val="right"/>
            </w:pPr>
          </w:p>
        </w:tc>
      </w:tr>
      <w:tr w:rsidR="00763AA8" w:rsidTr="00C778B8">
        <w:tc>
          <w:tcPr>
            <w:tcW w:w="1845" w:type="dxa"/>
            <w:tcBorders>
              <w:bottom w:val="single" w:sz="4" w:space="0" w:color="auto"/>
            </w:tcBorders>
            <w:shd w:val="clear" w:color="auto" w:fill="9BD4F9" w:themeFill="background2" w:themeFillShade="E6"/>
            <w:vAlign w:val="center"/>
          </w:tcPr>
          <w:p w:rsidR="00763AA8" w:rsidRPr="006D6EB3" w:rsidRDefault="00763AA8" w:rsidP="00D34B67">
            <w:r w:rsidRPr="006D6EB3">
              <w:lastRenderedPageBreak/>
              <w:t>Aktivita 3.6.  Pilotné projekty UPJŠ v odbore Informačné a komunikačné technológie</w:t>
            </w:r>
          </w:p>
        </w:tc>
        <w:tc>
          <w:tcPr>
            <w:tcW w:w="2833" w:type="dxa"/>
            <w:tcBorders>
              <w:bottom w:val="single" w:sz="4" w:space="0" w:color="auto"/>
            </w:tcBorders>
            <w:vAlign w:val="center"/>
          </w:tcPr>
          <w:p w:rsidR="00763AA8" w:rsidRDefault="00C778B8" w:rsidP="00C778B8">
            <w:pPr>
              <w:jc w:val="right"/>
            </w:pPr>
            <w:r>
              <w:t>329 346,35</w:t>
            </w:r>
          </w:p>
        </w:tc>
        <w:tc>
          <w:tcPr>
            <w:tcW w:w="2835" w:type="dxa"/>
            <w:tcBorders>
              <w:bottom w:val="single" w:sz="4" w:space="0" w:color="auto"/>
            </w:tcBorders>
            <w:vAlign w:val="center"/>
          </w:tcPr>
          <w:p w:rsidR="00763AA8" w:rsidRDefault="00C778B8" w:rsidP="00C778B8">
            <w:pPr>
              <w:jc w:val="right"/>
            </w:pPr>
            <w:r>
              <w:t>657 241,19</w:t>
            </w:r>
          </w:p>
        </w:tc>
        <w:tc>
          <w:tcPr>
            <w:tcW w:w="2977" w:type="dxa"/>
            <w:tcBorders>
              <w:bottom w:val="single" w:sz="4" w:space="0" w:color="auto"/>
            </w:tcBorders>
            <w:vAlign w:val="center"/>
          </w:tcPr>
          <w:p w:rsidR="00763AA8" w:rsidRDefault="00763AA8" w:rsidP="00C778B8">
            <w:pPr>
              <w:jc w:val="right"/>
            </w:pPr>
          </w:p>
        </w:tc>
      </w:tr>
      <w:tr w:rsidR="00763AA8" w:rsidTr="00C778B8">
        <w:tc>
          <w:tcPr>
            <w:tcW w:w="1845" w:type="dxa"/>
            <w:tcBorders>
              <w:bottom w:val="single" w:sz="4" w:space="0" w:color="auto"/>
            </w:tcBorders>
            <w:shd w:val="clear" w:color="auto" w:fill="9BD4F9" w:themeFill="background2" w:themeFillShade="E6"/>
            <w:vAlign w:val="center"/>
          </w:tcPr>
          <w:p w:rsidR="00763AA8" w:rsidRPr="006D6EB3" w:rsidRDefault="00763AA8" w:rsidP="00D34B67">
            <w:r w:rsidRPr="006D6EB3">
              <w:t>Aktivita 3.7 Pilotné projekty PU v Prešove v odbore Environmentálne inžinierstvo</w:t>
            </w:r>
          </w:p>
        </w:tc>
        <w:tc>
          <w:tcPr>
            <w:tcW w:w="2833" w:type="dxa"/>
            <w:tcBorders>
              <w:bottom w:val="single" w:sz="4" w:space="0" w:color="auto"/>
            </w:tcBorders>
            <w:vAlign w:val="center"/>
          </w:tcPr>
          <w:p w:rsidR="00763AA8" w:rsidRDefault="00763AA8" w:rsidP="00C778B8">
            <w:pPr>
              <w:jc w:val="right"/>
            </w:pPr>
          </w:p>
        </w:tc>
        <w:tc>
          <w:tcPr>
            <w:tcW w:w="2835" w:type="dxa"/>
            <w:tcBorders>
              <w:bottom w:val="single" w:sz="4" w:space="0" w:color="auto"/>
            </w:tcBorders>
            <w:vAlign w:val="center"/>
          </w:tcPr>
          <w:p w:rsidR="00763AA8" w:rsidRDefault="00763AA8" w:rsidP="00C778B8">
            <w:pPr>
              <w:jc w:val="right"/>
            </w:pPr>
          </w:p>
        </w:tc>
        <w:tc>
          <w:tcPr>
            <w:tcW w:w="2977" w:type="dxa"/>
            <w:tcBorders>
              <w:bottom w:val="single" w:sz="4" w:space="0" w:color="auto"/>
            </w:tcBorders>
            <w:vAlign w:val="center"/>
          </w:tcPr>
          <w:p w:rsidR="00763AA8" w:rsidRDefault="00763AA8" w:rsidP="00C778B8">
            <w:pPr>
              <w:jc w:val="right"/>
            </w:pPr>
          </w:p>
        </w:tc>
      </w:tr>
      <w:tr w:rsidR="004B4C86" w:rsidTr="00C778B8">
        <w:tc>
          <w:tcPr>
            <w:tcW w:w="1845" w:type="dxa"/>
            <w:tcBorders>
              <w:bottom w:val="single" w:sz="4" w:space="0" w:color="auto"/>
            </w:tcBorders>
            <w:shd w:val="clear" w:color="auto" w:fill="9BD4F9" w:themeFill="background2" w:themeFillShade="E6"/>
            <w:vAlign w:val="center"/>
          </w:tcPr>
          <w:p w:rsidR="004B4C86" w:rsidRPr="00430090" w:rsidRDefault="004B4C86" w:rsidP="00430090">
            <w:pPr>
              <w:jc w:val="center"/>
              <w:rPr>
                <w:b/>
              </w:rPr>
            </w:pPr>
            <w:r w:rsidRPr="00430090">
              <w:rPr>
                <w:b/>
              </w:rPr>
              <w:t>Spolu</w:t>
            </w:r>
          </w:p>
        </w:tc>
        <w:tc>
          <w:tcPr>
            <w:tcW w:w="2833" w:type="dxa"/>
            <w:tcBorders>
              <w:bottom w:val="single" w:sz="4" w:space="0" w:color="auto"/>
            </w:tcBorders>
            <w:shd w:val="clear" w:color="auto" w:fill="auto"/>
            <w:vAlign w:val="center"/>
          </w:tcPr>
          <w:p w:rsidR="004B4C86" w:rsidRDefault="00C778B8" w:rsidP="00C778B8">
            <w:pPr>
              <w:jc w:val="right"/>
            </w:pPr>
            <w:r>
              <w:t>332 270,94</w:t>
            </w:r>
          </w:p>
        </w:tc>
        <w:tc>
          <w:tcPr>
            <w:tcW w:w="2835" w:type="dxa"/>
            <w:tcBorders>
              <w:bottom w:val="single" w:sz="4" w:space="0" w:color="auto"/>
            </w:tcBorders>
            <w:shd w:val="clear" w:color="auto" w:fill="auto"/>
            <w:vAlign w:val="center"/>
          </w:tcPr>
          <w:p w:rsidR="004B4C86" w:rsidRDefault="00C778B8" w:rsidP="00C778B8">
            <w:pPr>
              <w:jc w:val="right"/>
            </w:pPr>
            <w:r>
              <w:t>3 975 334,31</w:t>
            </w:r>
          </w:p>
        </w:tc>
        <w:tc>
          <w:tcPr>
            <w:tcW w:w="2977" w:type="dxa"/>
            <w:tcBorders>
              <w:bottom w:val="single" w:sz="4" w:space="0" w:color="auto"/>
            </w:tcBorders>
            <w:vAlign w:val="center"/>
          </w:tcPr>
          <w:p w:rsidR="004B4C86" w:rsidRDefault="004B4C86" w:rsidP="00C778B8">
            <w:pPr>
              <w:jc w:val="right"/>
            </w:pPr>
          </w:p>
        </w:tc>
      </w:tr>
      <w:tr w:rsidR="004B4C86" w:rsidRPr="0065201F" w:rsidTr="00C778B8">
        <w:tc>
          <w:tcPr>
            <w:tcW w:w="10490" w:type="dxa"/>
            <w:gridSpan w:val="4"/>
            <w:shd w:val="clear" w:color="auto" w:fill="9BD4F9" w:themeFill="background2" w:themeFillShade="E6"/>
            <w:vAlign w:val="center"/>
          </w:tcPr>
          <w:p w:rsidR="004B4C86" w:rsidRPr="0065201F" w:rsidRDefault="004B4C86" w:rsidP="00D34B67">
            <w:pPr>
              <w:jc w:val="center"/>
              <w:rPr>
                <w:b/>
              </w:rPr>
            </w:pPr>
            <w:r w:rsidRPr="0065201F">
              <w:rPr>
                <w:b/>
              </w:rPr>
              <w:t>Podporné aktivity</w:t>
            </w:r>
          </w:p>
        </w:tc>
      </w:tr>
      <w:tr w:rsidR="00442CAC" w:rsidTr="00C778B8">
        <w:tc>
          <w:tcPr>
            <w:tcW w:w="1845" w:type="dxa"/>
            <w:shd w:val="clear" w:color="auto" w:fill="9BD4F9" w:themeFill="background2" w:themeFillShade="E6"/>
            <w:vAlign w:val="center"/>
          </w:tcPr>
          <w:p w:rsidR="00442CAC" w:rsidRDefault="00442CAC" w:rsidP="00D34B67">
            <w:r>
              <w:t>Riadenie projektu</w:t>
            </w:r>
          </w:p>
        </w:tc>
        <w:tc>
          <w:tcPr>
            <w:tcW w:w="2833" w:type="dxa"/>
            <w:vAlign w:val="center"/>
          </w:tcPr>
          <w:p w:rsidR="00442CAC" w:rsidRDefault="00C778B8" w:rsidP="00C778B8">
            <w:pPr>
              <w:jc w:val="right"/>
            </w:pPr>
            <w:r>
              <w:t>50 189,38</w:t>
            </w:r>
          </w:p>
        </w:tc>
        <w:tc>
          <w:tcPr>
            <w:tcW w:w="2835" w:type="dxa"/>
            <w:vAlign w:val="center"/>
          </w:tcPr>
          <w:p w:rsidR="00442CAC" w:rsidRDefault="00C778B8" w:rsidP="00C778B8">
            <w:pPr>
              <w:jc w:val="right"/>
            </w:pPr>
            <w:r>
              <w:t>118 462,02</w:t>
            </w:r>
          </w:p>
        </w:tc>
        <w:tc>
          <w:tcPr>
            <w:tcW w:w="2977" w:type="dxa"/>
            <w:vAlign w:val="center"/>
          </w:tcPr>
          <w:p w:rsidR="00442CAC" w:rsidRDefault="00442CAC" w:rsidP="00C778B8">
            <w:pPr>
              <w:jc w:val="right"/>
            </w:pPr>
          </w:p>
        </w:tc>
      </w:tr>
      <w:tr w:rsidR="00442CAC" w:rsidTr="00C778B8">
        <w:tc>
          <w:tcPr>
            <w:tcW w:w="1845" w:type="dxa"/>
            <w:tcBorders>
              <w:bottom w:val="single" w:sz="4" w:space="0" w:color="auto"/>
            </w:tcBorders>
            <w:shd w:val="clear" w:color="auto" w:fill="9BD4F9" w:themeFill="background2" w:themeFillShade="E6"/>
            <w:vAlign w:val="center"/>
          </w:tcPr>
          <w:p w:rsidR="00442CAC" w:rsidRDefault="00442CAC" w:rsidP="00D34B67">
            <w:r w:rsidRPr="006D6EB3">
              <w:t>Publicita a informovanosť</w:t>
            </w:r>
          </w:p>
        </w:tc>
        <w:tc>
          <w:tcPr>
            <w:tcW w:w="2833" w:type="dxa"/>
            <w:tcBorders>
              <w:bottom w:val="single" w:sz="4" w:space="0" w:color="auto"/>
            </w:tcBorders>
            <w:vAlign w:val="center"/>
          </w:tcPr>
          <w:p w:rsidR="00442CAC" w:rsidRDefault="00C778B8" w:rsidP="00C778B8">
            <w:pPr>
              <w:jc w:val="right"/>
            </w:pPr>
            <w:r>
              <w:t>0</w:t>
            </w:r>
          </w:p>
        </w:tc>
        <w:tc>
          <w:tcPr>
            <w:tcW w:w="2835" w:type="dxa"/>
            <w:tcBorders>
              <w:bottom w:val="single" w:sz="4" w:space="0" w:color="auto"/>
            </w:tcBorders>
            <w:vAlign w:val="center"/>
          </w:tcPr>
          <w:p w:rsidR="00442CAC" w:rsidRDefault="00C778B8" w:rsidP="00C778B8">
            <w:pPr>
              <w:jc w:val="right"/>
            </w:pPr>
            <w:r>
              <w:t>10 167,88</w:t>
            </w:r>
          </w:p>
        </w:tc>
        <w:tc>
          <w:tcPr>
            <w:tcW w:w="2977" w:type="dxa"/>
            <w:tcBorders>
              <w:bottom w:val="single" w:sz="4" w:space="0" w:color="auto"/>
            </w:tcBorders>
            <w:vAlign w:val="center"/>
          </w:tcPr>
          <w:p w:rsidR="00442CAC" w:rsidRDefault="00442CAC" w:rsidP="00C778B8">
            <w:pPr>
              <w:jc w:val="right"/>
            </w:pPr>
          </w:p>
        </w:tc>
      </w:tr>
      <w:tr w:rsidR="004B4C86" w:rsidTr="00C778B8">
        <w:tc>
          <w:tcPr>
            <w:tcW w:w="1845" w:type="dxa"/>
            <w:shd w:val="clear" w:color="auto" w:fill="9BD4F9" w:themeFill="background2" w:themeFillShade="E6"/>
            <w:vAlign w:val="center"/>
          </w:tcPr>
          <w:p w:rsidR="004B4C86" w:rsidRPr="00430090" w:rsidRDefault="004B4C86" w:rsidP="00430090">
            <w:pPr>
              <w:jc w:val="center"/>
              <w:rPr>
                <w:b/>
              </w:rPr>
            </w:pPr>
            <w:r w:rsidRPr="00430090">
              <w:rPr>
                <w:b/>
              </w:rPr>
              <w:t>Spolu</w:t>
            </w:r>
          </w:p>
        </w:tc>
        <w:tc>
          <w:tcPr>
            <w:tcW w:w="2833" w:type="dxa"/>
            <w:shd w:val="clear" w:color="auto" w:fill="auto"/>
            <w:vAlign w:val="center"/>
          </w:tcPr>
          <w:p w:rsidR="004B4C86" w:rsidRDefault="00C778B8" w:rsidP="00C778B8">
            <w:pPr>
              <w:jc w:val="right"/>
            </w:pPr>
            <w:r>
              <w:t>382 460,32</w:t>
            </w:r>
          </w:p>
        </w:tc>
        <w:tc>
          <w:tcPr>
            <w:tcW w:w="2835" w:type="dxa"/>
            <w:shd w:val="clear" w:color="auto" w:fill="auto"/>
            <w:vAlign w:val="center"/>
          </w:tcPr>
          <w:p w:rsidR="00C778B8" w:rsidRDefault="00C778B8" w:rsidP="00C778B8">
            <w:pPr>
              <w:jc w:val="right"/>
            </w:pPr>
            <w:r>
              <w:t>4 103 964,21</w:t>
            </w:r>
          </w:p>
        </w:tc>
        <w:tc>
          <w:tcPr>
            <w:tcW w:w="2977" w:type="dxa"/>
            <w:vAlign w:val="center"/>
          </w:tcPr>
          <w:p w:rsidR="004B4C86" w:rsidRDefault="004B4C86" w:rsidP="00C778B8">
            <w:pPr>
              <w:jc w:val="right"/>
            </w:pPr>
          </w:p>
        </w:tc>
      </w:tr>
    </w:tbl>
    <w:p w:rsidR="00EF13F2" w:rsidRDefault="00EF13F2" w:rsidP="005F0BD5"/>
    <w:p w:rsidR="00EF13F2" w:rsidRDefault="00EF13F2" w:rsidP="005F0BD5"/>
    <w:p w:rsidR="00EF13F2" w:rsidRDefault="00EF13F2" w:rsidP="005F0BD5"/>
    <w:p w:rsidR="00EF13F2" w:rsidRDefault="00EF13F2" w:rsidP="005F0BD5"/>
    <w:p w:rsidR="00EF13F2" w:rsidRDefault="00EF13F2" w:rsidP="005F0BD5"/>
    <w:p w:rsidR="00EF13F2" w:rsidRDefault="00EF13F2" w:rsidP="005F0BD5"/>
    <w:p w:rsidR="00EF13F2" w:rsidRDefault="00EF13F2" w:rsidP="005F0BD5"/>
    <w:p w:rsidR="00EF13F2" w:rsidRDefault="00EF13F2" w:rsidP="005F0BD5"/>
    <w:p w:rsidR="006E4A8E" w:rsidRDefault="006E4A8E" w:rsidP="005F0BD5"/>
    <w:p w:rsidR="00763AA8" w:rsidRDefault="00763AA8" w:rsidP="005F0BD5"/>
    <w:p w:rsidR="00763AA8" w:rsidRDefault="00763AA8" w:rsidP="005F0BD5"/>
    <w:p w:rsidR="00763AA8" w:rsidRDefault="00763AA8" w:rsidP="005F0BD5"/>
    <w:p w:rsidR="00763AA8" w:rsidRDefault="00763AA8" w:rsidP="005F0BD5"/>
    <w:p w:rsidR="00763AA8" w:rsidRDefault="00763AA8" w:rsidP="005F0BD5"/>
    <w:p w:rsidR="00763AA8" w:rsidRDefault="00763AA8" w:rsidP="005F0BD5"/>
    <w:p w:rsidR="00763AA8" w:rsidRDefault="00763AA8" w:rsidP="005F0BD5"/>
    <w:p w:rsidR="00763AA8" w:rsidRDefault="00763AA8" w:rsidP="005F0BD5"/>
    <w:p w:rsidR="00763AA8" w:rsidRDefault="00763AA8" w:rsidP="005F0BD5"/>
    <w:p w:rsidR="006E4A8E" w:rsidRDefault="006E4A8E" w:rsidP="005F0BD5"/>
    <w:p w:rsidR="006E4A8E" w:rsidRDefault="006E4A8E" w:rsidP="005F0BD5"/>
    <w:p w:rsidR="006E4A8E" w:rsidRDefault="006E4A8E" w:rsidP="005F0BD5"/>
    <w:p w:rsidR="006E4A8E" w:rsidRDefault="006E4A8E" w:rsidP="005F0BD5"/>
    <w:p w:rsidR="006E4A8E" w:rsidRDefault="006E4A8E" w:rsidP="005F0BD5"/>
    <w:p w:rsidR="006E4A8E" w:rsidRDefault="006E4A8E" w:rsidP="005F0BD5"/>
    <w:p w:rsidR="00743E23" w:rsidRDefault="00743E23" w:rsidP="005F0BD5"/>
    <w:p w:rsidR="00743E23" w:rsidRDefault="00743E23" w:rsidP="005F0BD5"/>
    <w:p w:rsidR="00EF13F2" w:rsidRDefault="00EF13F2" w:rsidP="005F0BD5"/>
    <w:p w:rsidR="00755127" w:rsidRDefault="00755127" w:rsidP="005F0BD5"/>
    <w:p w:rsidR="00EF13F2" w:rsidRDefault="006E4A8E" w:rsidP="005F0BD5">
      <w:r>
        <w:t>______________________</w:t>
      </w:r>
    </w:p>
    <w:p w:rsidR="006E4A8E" w:rsidRDefault="006E4A8E" w:rsidP="006E4A8E">
      <w:pPr>
        <w:pStyle w:val="Textpoznmkypodiarou"/>
        <w:rPr>
          <w:rFonts w:ascii="Arial Narrow" w:hAnsi="Arial Narrow"/>
          <w:sz w:val="18"/>
          <w:szCs w:val="18"/>
        </w:rPr>
      </w:pPr>
      <w:r>
        <w:rPr>
          <w:vertAlign w:val="superscript"/>
        </w:rPr>
        <w:lastRenderedPageBreak/>
        <w:t>2</w:t>
      </w:r>
      <w:r>
        <w:t xml:space="preserve"> </w:t>
      </w:r>
      <w:r>
        <w:rPr>
          <w:rFonts w:ascii="Arial Narrow" w:hAnsi="Arial Narrow"/>
          <w:sz w:val="18"/>
          <w:szCs w:val="18"/>
        </w:rPr>
        <w:t xml:space="preserve">Uvádzať </w:t>
      </w:r>
      <w:r w:rsidRPr="001254C2">
        <w:rPr>
          <w:rFonts w:ascii="Arial Narrow" w:hAnsi="Arial Narrow"/>
          <w:sz w:val="18"/>
          <w:szCs w:val="18"/>
        </w:rPr>
        <w:t xml:space="preserve"> kumulatívne </w:t>
      </w:r>
      <w:r>
        <w:rPr>
          <w:rFonts w:ascii="Arial Narrow" w:hAnsi="Arial Narrow"/>
          <w:sz w:val="18"/>
          <w:szCs w:val="18"/>
        </w:rPr>
        <w:t>vyčerpanú sumu NFP od začiatku realizácie projektu (t.j.</w:t>
      </w:r>
      <w:r w:rsidR="001A3961">
        <w:rPr>
          <w:rFonts w:ascii="Arial Narrow" w:hAnsi="Arial Narrow"/>
          <w:sz w:val="18"/>
          <w:szCs w:val="18"/>
        </w:rPr>
        <w:t xml:space="preserve"> sumu, ktorá už bola uhradená platobnou jednotkou</w:t>
      </w:r>
      <w:r>
        <w:rPr>
          <w:rFonts w:ascii="Arial Narrow" w:hAnsi="Arial Narrow"/>
          <w:sz w:val="18"/>
          <w:szCs w:val="18"/>
        </w:rPr>
        <w:t>).</w:t>
      </w:r>
    </w:p>
    <w:p w:rsidR="006E4A8E" w:rsidRPr="006E4A8E" w:rsidRDefault="006E4A8E" w:rsidP="005F0BD5"/>
    <w:p w:rsidR="00EF13F2" w:rsidRDefault="00EF13F2" w:rsidP="005F0BD5"/>
    <w:tbl>
      <w:tblPr>
        <w:tblpPr w:leftFromText="141" w:rightFromText="141" w:vertAnchor="text" w:horzAnchor="margin" w:tblpX="-601" w:tblpY="18"/>
        <w:tblOverlap w:val="never"/>
        <w:tblW w:w="105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29"/>
        <w:gridCol w:w="1566"/>
        <w:gridCol w:w="1699"/>
        <w:gridCol w:w="1703"/>
        <w:gridCol w:w="1417"/>
        <w:gridCol w:w="1979"/>
      </w:tblGrid>
      <w:tr w:rsidR="00680FE9" w:rsidRPr="00E156FE" w:rsidTr="0091777C">
        <w:trPr>
          <w:trHeight w:val="567"/>
        </w:trPr>
        <w:tc>
          <w:tcPr>
            <w:tcW w:w="5000" w:type="pct"/>
            <w:gridSpan w:val="6"/>
            <w:tcBorders>
              <w:top w:val="single" w:sz="12" w:space="0" w:color="auto"/>
              <w:bottom w:val="single" w:sz="6" w:space="0" w:color="auto"/>
            </w:tcBorders>
            <w:shd w:val="clear" w:color="auto" w:fill="9BD4F9" w:themeFill="background2" w:themeFillShade="E6"/>
            <w:vAlign w:val="center"/>
          </w:tcPr>
          <w:p w:rsidR="00680FE9" w:rsidRPr="00E3587A" w:rsidRDefault="00680FE9" w:rsidP="00D34B67">
            <w:pPr>
              <w:jc w:val="center"/>
              <w:rPr>
                <w:rFonts w:cs="Arial"/>
                <w:b/>
              </w:rPr>
            </w:pPr>
            <w:r w:rsidRPr="00E3587A">
              <w:rPr>
                <w:rFonts w:cs="Arial"/>
                <w:b/>
              </w:rPr>
              <w:t>Rozpočet projektu podľa skupín výdavkov</w:t>
            </w:r>
          </w:p>
        </w:tc>
      </w:tr>
      <w:tr w:rsidR="00680FE9" w:rsidRPr="00E156FE" w:rsidTr="0091777C">
        <w:trPr>
          <w:trHeight w:val="662"/>
        </w:trPr>
        <w:tc>
          <w:tcPr>
            <w:tcW w:w="1052" w:type="pct"/>
            <w:vMerge w:val="restart"/>
            <w:tcBorders>
              <w:top w:val="single" w:sz="6" w:space="0" w:color="auto"/>
              <w:bottom w:val="single" w:sz="6" w:space="0" w:color="auto"/>
            </w:tcBorders>
            <w:shd w:val="clear" w:color="auto" w:fill="9BD4F9" w:themeFill="background2" w:themeFillShade="E6"/>
            <w:vAlign w:val="center"/>
          </w:tcPr>
          <w:p w:rsidR="00680FE9" w:rsidRPr="00E3587A" w:rsidRDefault="00680FE9" w:rsidP="00D34B67">
            <w:pPr>
              <w:rPr>
                <w:rFonts w:cs="Arial"/>
                <w:b/>
              </w:rPr>
            </w:pPr>
            <w:r w:rsidRPr="00E3587A">
              <w:rPr>
                <w:rFonts w:cs="Arial"/>
                <w:b/>
              </w:rPr>
              <w:t>Názov skupiny výdavkov</w:t>
            </w:r>
          </w:p>
        </w:tc>
        <w:tc>
          <w:tcPr>
            <w:tcW w:w="1541" w:type="pct"/>
            <w:gridSpan w:val="2"/>
            <w:tcBorders>
              <w:top w:val="single" w:sz="6" w:space="0" w:color="auto"/>
              <w:bottom w:val="single" w:sz="6" w:space="0" w:color="auto"/>
            </w:tcBorders>
            <w:shd w:val="clear" w:color="auto" w:fill="9BD4F9" w:themeFill="background2" w:themeFillShade="E6"/>
            <w:vAlign w:val="center"/>
          </w:tcPr>
          <w:p w:rsidR="00680FE9" w:rsidRPr="00E3587A" w:rsidRDefault="00680FE9" w:rsidP="00D34B67">
            <w:pPr>
              <w:ind w:left="-159" w:right="-115"/>
              <w:jc w:val="center"/>
              <w:rPr>
                <w:rFonts w:cs="Arial"/>
                <w:b/>
              </w:rPr>
            </w:pPr>
            <w:r w:rsidRPr="00E3587A">
              <w:rPr>
                <w:rFonts w:cs="Arial"/>
                <w:b/>
              </w:rPr>
              <w:t>Oprávnené výdavky</w:t>
            </w:r>
            <w:r w:rsidRPr="00E3587A">
              <w:rPr>
                <w:rFonts w:cs="Arial"/>
                <w:b/>
              </w:rPr>
              <w:br/>
              <w:t>(v EUR)</w:t>
            </w:r>
          </w:p>
        </w:tc>
        <w:tc>
          <w:tcPr>
            <w:tcW w:w="1473" w:type="pct"/>
            <w:gridSpan w:val="2"/>
            <w:tcBorders>
              <w:top w:val="single" w:sz="6" w:space="0" w:color="auto"/>
              <w:bottom w:val="single" w:sz="6" w:space="0" w:color="auto"/>
            </w:tcBorders>
            <w:shd w:val="clear" w:color="auto" w:fill="9BD4F9" w:themeFill="background2" w:themeFillShade="E6"/>
            <w:vAlign w:val="center"/>
          </w:tcPr>
          <w:p w:rsidR="00680FE9" w:rsidRPr="00E3587A" w:rsidRDefault="00680FE9" w:rsidP="00D34B67">
            <w:pPr>
              <w:jc w:val="center"/>
              <w:rPr>
                <w:rFonts w:cs="Arial"/>
                <w:b/>
              </w:rPr>
            </w:pPr>
            <w:r w:rsidRPr="00E3587A">
              <w:rPr>
                <w:rFonts w:cs="Arial"/>
                <w:b/>
              </w:rPr>
              <w:t xml:space="preserve">Výdavky deklarované v ŽoP </w:t>
            </w:r>
            <w:r w:rsidRPr="00E3587A">
              <w:rPr>
                <w:rFonts w:cs="Arial"/>
                <w:b/>
              </w:rPr>
              <w:br/>
              <w:t>(v EUR)</w:t>
            </w:r>
          </w:p>
        </w:tc>
        <w:tc>
          <w:tcPr>
            <w:tcW w:w="934" w:type="pct"/>
            <w:vMerge w:val="restart"/>
            <w:tcBorders>
              <w:top w:val="single" w:sz="6" w:space="0" w:color="auto"/>
              <w:bottom w:val="single" w:sz="6" w:space="0" w:color="auto"/>
            </w:tcBorders>
            <w:shd w:val="clear" w:color="auto" w:fill="9BD4F9" w:themeFill="background2" w:themeFillShade="E6"/>
            <w:vAlign w:val="center"/>
          </w:tcPr>
          <w:p w:rsidR="00680FE9" w:rsidRPr="00E3587A" w:rsidRDefault="00680FE9" w:rsidP="00D34B67">
            <w:pPr>
              <w:jc w:val="center"/>
              <w:rPr>
                <w:rFonts w:cs="Arial"/>
                <w:b/>
              </w:rPr>
            </w:pPr>
            <w:r w:rsidRPr="00E3587A">
              <w:rPr>
                <w:rFonts w:cs="Arial"/>
                <w:b/>
              </w:rPr>
              <w:t>Stav finančnej realizácie (v %) (podiel skutočne uhradených z plánovaných oprávnených výdavkov)</w:t>
            </w:r>
          </w:p>
        </w:tc>
      </w:tr>
      <w:tr w:rsidR="00680FE9" w:rsidRPr="00E156FE" w:rsidTr="0091777C">
        <w:trPr>
          <w:trHeight w:val="330"/>
        </w:trPr>
        <w:tc>
          <w:tcPr>
            <w:tcW w:w="1052" w:type="pct"/>
            <w:vMerge/>
            <w:tcBorders>
              <w:top w:val="single" w:sz="6" w:space="0" w:color="auto"/>
              <w:bottom w:val="single" w:sz="6" w:space="0" w:color="auto"/>
            </w:tcBorders>
            <w:shd w:val="clear" w:color="auto" w:fill="D9D9D9"/>
            <w:vAlign w:val="center"/>
          </w:tcPr>
          <w:p w:rsidR="00680FE9" w:rsidRPr="00E3587A" w:rsidRDefault="00680FE9" w:rsidP="00D34B67">
            <w:pPr>
              <w:rPr>
                <w:rFonts w:cs="Arial"/>
                <w:b/>
              </w:rPr>
            </w:pPr>
          </w:p>
        </w:tc>
        <w:tc>
          <w:tcPr>
            <w:tcW w:w="739" w:type="pct"/>
            <w:tcBorders>
              <w:top w:val="single" w:sz="6" w:space="0" w:color="auto"/>
              <w:bottom w:val="single" w:sz="6" w:space="0" w:color="auto"/>
            </w:tcBorders>
            <w:shd w:val="clear" w:color="auto" w:fill="9BD4F9" w:themeFill="background2" w:themeFillShade="E6"/>
            <w:vAlign w:val="center"/>
          </w:tcPr>
          <w:p w:rsidR="00680FE9" w:rsidRPr="00E3587A" w:rsidRDefault="00680FE9" w:rsidP="00D34B67">
            <w:pPr>
              <w:jc w:val="center"/>
              <w:rPr>
                <w:rFonts w:cs="Arial"/>
                <w:b/>
              </w:rPr>
            </w:pPr>
            <w:r w:rsidRPr="00E3587A">
              <w:rPr>
                <w:rFonts w:cs="Arial"/>
                <w:b/>
              </w:rPr>
              <w:t>Plánovaný stav</w:t>
            </w:r>
          </w:p>
        </w:tc>
        <w:tc>
          <w:tcPr>
            <w:tcW w:w="802" w:type="pct"/>
            <w:tcBorders>
              <w:top w:val="single" w:sz="6" w:space="0" w:color="auto"/>
              <w:bottom w:val="single" w:sz="6" w:space="0" w:color="auto"/>
            </w:tcBorders>
            <w:shd w:val="clear" w:color="auto" w:fill="9BD4F9" w:themeFill="background2" w:themeFillShade="E6"/>
            <w:vAlign w:val="center"/>
          </w:tcPr>
          <w:p w:rsidR="00680FE9" w:rsidRPr="00E3587A" w:rsidRDefault="00680FE9" w:rsidP="00D34B67">
            <w:pPr>
              <w:ind w:left="-22" w:right="-115"/>
              <w:jc w:val="center"/>
              <w:rPr>
                <w:rFonts w:cs="Arial"/>
                <w:b/>
              </w:rPr>
            </w:pPr>
            <w:r w:rsidRPr="00E3587A">
              <w:rPr>
                <w:rFonts w:cs="Arial"/>
                <w:b/>
              </w:rPr>
              <w:t>Skutočný (aktuálny) stav</w:t>
            </w:r>
            <w:r>
              <w:rPr>
                <w:rStyle w:val="Odkaznapoznmkupodiarou"/>
                <w:rFonts w:cs="Arial"/>
                <w:b/>
              </w:rPr>
              <w:t>3</w:t>
            </w:r>
          </w:p>
        </w:tc>
        <w:tc>
          <w:tcPr>
            <w:tcW w:w="804" w:type="pct"/>
            <w:tcBorders>
              <w:top w:val="single" w:sz="6" w:space="0" w:color="auto"/>
              <w:bottom w:val="single" w:sz="6" w:space="0" w:color="auto"/>
            </w:tcBorders>
            <w:shd w:val="clear" w:color="auto" w:fill="9BD4F9" w:themeFill="background2" w:themeFillShade="E6"/>
            <w:vAlign w:val="center"/>
          </w:tcPr>
          <w:p w:rsidR="00680FE9" w:rsidRPr="00E3587A" w:rsidRDefault="00680FE9" w:rsidP="00D34B67">
            <w:pPr>
              <w:jc w:val="center"/>
              <w:rPr>
                <w:rFonts w:cs="Arial"/>
                <w:b/>
                <w:bCs/>
              </w:rPr>
            </w:pPr>
            <w:r w:rsidRPr="00E3587A">
              <w:rPr>
                <w:rFonts w:cs="Arial"/>
                <w:b/>
                <w:bCs/>
              </w:rPr>
              <w:t>Predložené na RO</w:t>
            </w:r>
          </w:p>
          <w:p w:rsidR="00680FE9" w:rsidRPr="00E3587A" w:rsidRDefault="00680FE9" w:rsidP="00D34B67">
            <w:pPr>
              <w:jc w:val="center"/>
              <w:rPr>
                <w:rFonts w:cs="Arial"/>
                <w:b/>
              </w:rPr>
            </w:pPr>
          </w:p>
        </w:tc>
        <w:tc>
          <w:tcPr>
            <w:tcW w:w="669" w:type="pct"/>
            <w:tcBorders>
              <w:top w:val="single" w:sz="6" w:space="0" w:color="auto"/>
              <w:bottom w:val="single" w:sz="6" w:space="0" w:color="auto"/>
            </w:tcBorders>
            <w:shd w:val="clear" w:color="auto" w:fill="9BD4F9" w:themeFill="background2" w:themeFillShade="E6"/>
            <w:vAlign w:val="center"/>
          </w:tcPr>
          <w:p w:rsidR="00680FE9" w:rsidRPr="00E3587A" w:rsidRDefault="00680FE9" w:rsidP="00D34B67">
            <w:pPr>
              <w:jc w:val="center"/>
              <w:rPr>
                <w:rFonts w:cs="Arial"/>
                <w:b/>
                <w:bCs/>
              </w:rPr>
            </w:pPr>
            <w:r w:rsidRPr="00E3587A">
              <w:rPr>
                <w:rFonts w:cs="Arial"/>
                <w:b/>
                <w:bCs/>
              </w:rPr>
              <w:t>Schválené</w:t>
            </w:r>
            <w:r>
              <w:rPr>
                <w:rStyle w:val="Odkaznapoznmkupodiarou"/>
                <w:rFonts w:cs="Arial"/>
                <w:b/>
                <w:bCs/>
              </w:rPr>
              <w:t>4</w:t>
            </w:r>
            <w:r w:rsidRPr="00E3587A">
              <w:rPr>
                <w:rFonts w:cs="Arial"/>
                <w:b/>
                <w:bCs/>
              </w:rPr>
              <w:t xml:space="preserve"> výdavky projektu zo strany  PJ</w:t>
            </w:r>
          </w:p>
          <w:p w:rsidR="00680FE9" w:rsidRPr="00E3587A" w:rsidRDefault="00680FE9" w:rsidP="00D34B67">
            <w:pPr>
              <w:jc w:val="center"/>
              <w:rPr>
                <w:rFonts w:cs="Arial"/>
                <w:b/>
              </w:rPr>
            </w:pPr>
          </w:p>
        </w:tc>
        <w:tc>
          <w:tcPr>
            <w:tcW w:w="934" w:type="pct"/>
            <w:vMerge/>
            <w:tcBorders>
              <w:top w:val="single" w:sz="6" w:space="0" w:color="auto"/>
            </w:tcBorders>
            <w:shd w:val="clear" w:color="auto" w:fill="92CDDC"/>
            <w:vAlign w:val="center"/>
          </w:tcPr>
          <w:p w:rsidR="00680FE9" w:rsidRPr="00E3587A" w:rsidRDefault="00680FE9" w:rsidP="00D34B67">
            <w:pPr>
              <w:jc w:val="center"/>
              <w:rPr>
                <w:rFonts w:cs="Arial"/>
                <w:b/>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t>610620 osobné náklady</w:t>
            </w:r>
          </w:p>
        </w:tc>
        <w:tc>
          <w:tcPr>
            <w:tcW w:w="739" w:type="pct"/>
            <w:tcBorders>
              <w:top w:val="single" w:sz="6" w:space="0" w:color="auto"/>
            </w:tcBorders>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1 027 042,08</w:t>
            </w:r>
          </w:p>
        </w:tc>
        <w:tc>
          <w:tcPr>
            <w:tcW w:w="802" w:type="pct"/>
            <w:tcBorders>
              <w:top w:val="single" w:sz="6" w:space="0" w:color="auto"/>
            </w:tcBorders>
            <w:shd w:val="clear" w:color="auto" w:fill="auto"/>
            <w:vAlign w:val="center"/>
          </w:tcPr>
          <w:p w:rsidR="00680FE9" w:rsidRDefault="00727F92" w:rsidP="0091777C">
            <w:pPr>
              <w:jc w:val="right"/>
              <w:rPr>
                <w:rFonts w:ascii="Calibri" w:hAnsi="Calibri"/>
                <w:color w:val="000000"/>
              </w:rPr>
            </w:pPr>
            <w:r w:rsidRPr="00727F92">
              <w:rPr>
                <w:rFonts w:ascii="Calibri" w:hAnsi="Calibri"/>
                <w:color w:val="000000"/>
              </w:rPr>
              <w:t>638 638,97</w:t>
            </w:r>
          </w:p>
        </w:tc>
        <w:tc>
          <w:tcPr>
            <w:tcW w:w="804" w:type="pct"/>
            <w:tcBorders>
              <w:top w:val="single" w:sz="6" w:space="0" w:color="auto"/>
            </w:tcBorders>
            <w:shd w:val="clear" w:color="auto" w:fill="auto"/>
            <w:vAlign w:val="center"/>
          </w:tcPr>
          <w:p w:rsidR="00680FE9" w:rsidRDefault="00165F4B" w:rsidP="0091777C">
            <w:pPr>
              <w:jc w:val="right"/>
              <w:rPr>
                <w:rFonts w:ascii="Calibri" w:hAnsi="Calibri"/>
                <w:color w:val="000000"/>
              </w:rPr>
            </w:pPr>
            <w:r w:rsidRPr="00165F4B">
              <w:rPr>
                <w:rFonts w:ascii="Calibri" w:hAnsi="Calibri"/>
                <w:color w:val="000000"/>
              </w:rPr>
              <w:t>599 411,63</w:t>
            </w:r>
          </w:p>
        </w:tc>
        <w:tc>
          <w:tcPr>
            <w:tcW w:w="669" w:type="pct"/>
            <w:tcBorders>
              <w:top w:val="single" w:sz="6" w:space="0" w:color="auto"/>
            </w:tcBorders>
            <w:shd w:val="clear" w:color="auto" w:fill="auto"/>
            <w:vAlign w:val="center"/>
          </w:tcPr>
          <w:p w:rsidR="00680FE9" w:rsidRDefault="0091777C" w:rsidP="0091777C">
            <w:pPr>
              <w:jc w:val="right"/>
              <w:rPr>
                <w:rFonts w:ascii="Calibri" w:hAnsi="Calibri"/>
                <w:color w:val="000000"/>
              </w:rPr>
            </w:pPr>
            <w:r>
              <w:rPr>
                <w:rFonts w:ascii="Calibri" w:hAnsi="Calibri"/>
                <w:color w:val="000000"/>
              </w:rPr>
              <w:t>368 512,04</w:t>
            </w:r>
          </w:p>
        </w:tc>
        <w:tc>
          <w:tcPr>
            <w:tcW w:w="934" w:type="pct"/>
            <w:shd w:val="clear" w:color="auto" w:fill="auto"/>
            <w:vAlign w:val="center"/>
          </w:tcPr>
          <w:p w:rsidR="00680FE9" w:rsidRDefault="003A4EC8" w:rsidP="0091777C">
            <w:pPr>
              <w:jc w:val="right"/>
              <w:rPr>
                <w:rFonts w:ascii="Calibri" w:hAnsi="Calibri"/>
                <w:color w:val="000000"/>
              </w:rPr>
            </w:pPr>
            <w:r w:rsidRPr="003A4EC8">
              <w:rPr>
                <w:rFonts w:ascii="Calibri" w:hAnsi="Calibri"/>
                <w:color w:val="000000"/>
              </w:rPr>
              <w:t>35,88%</w:t>
            </w: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t>631001 Tuzemské cestovné náklady</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7 600,00</w:t>
            </w:r>
          </w:p>
        </w:tc>
        <w:tc>
          <w:tcPr>
            <w:tcW w:w="802" w:type="pct"/>
            <w:shd w:val="clear" w:color="auto" w:fill="auto"/>
            <w:vAlign w:val="center"/>
          </w:tcPr>
          <w:p w:rsidR="00680FE9" w:rsidRDefault="00727F92" w:rsidP="0091777C">
            <w:pPr>
              <w:jc w:val="right"/>
              <w:rPr>
                <w:rFonts w:ascii="Calibri" w:hAnsi="Calibri"/>
                <w:color w:val="000000"/>
              </w:rPr>
            </w:pPr>
            <w:r w:rsidRPr="00727F92">
              <w:rPr>
                <w:rFonts w:ascii="Calibri" w:hAnsi="Calibri"/>
                <w:color w:val="000000"/>
              </w:rPr>
              <w:t>2 124,52</w:t>
            </w:r>
          </w:p>
        </w:tc>
        <w:tc>
          <w:tcPr>
            <w:tcW w:w="804" w:type="pct"/>
            <w:shd w:val="clear" w:color="auto" w:fill="auto"/>
            <w:vAlign w:val="center"/>
          </w:tcPr>
          <w:p w:rsidR="00680FE9" w:rsidRDefault="00165F4B" w:rsidP="0091777C">
            <w:pPr>
              <w:jc w:val="right"/>
              <w:rPr>
                <w:rFonts w:ascii="Calibri" w:hAnsi="Calibri"/>
                <w:color w:val="000000"/>
              </w:rPr>
            </w:pPr>
            <w:r w:rsidRPr="00165F4B">
              <w:rPr>
                <w:rFonts w:ascii="Calibri" w:hAnsi="Calibri"/>
                <w:color w:val="000000"/>
              </w:rPr>
              <w:t>1 993,40</w:t>
            </w: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t>631002 Zahraničné cestovné náhrady</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99 000,00</w:t>
            </w:r>
          </w:p>
        </w:tc>
        <w:tc>
          <w:tcPr>
            <w:tcW w:w="802" w:type="pct"/>
            <w:shd w:val="clear" w:color="auto" w:fill="auto"/>
            <w:vAlign w:val="center"/>
          </w:tcPr>
          <w:p w:rsidR="00680FE9" w:rsidRDefault="00727F92" w:rsidP="0091777C">
            <w:pPr>
              <w:jc w:val="right"/>
              <w:rPr>
                <w:rFonts w:ascii="Calibri" w:hAnsi="Calibri"/>
                <w:color w:val="000000"/>
              </w:rPr>
            </w:pPr>
            <w:r w:rsidRPr="00727F92">
              <w:rPr>
                <w:rFonts w:ascii="Calibri" w:hAnsi="Calibri"/>
                <w:color w:val="000000"/>
              </w:rPr>
              <w:t>28 732,34</w:t>
            </w:r>
          </w:p>
        </w:tc>
        <w:tc>
          <w:tcPr>
            <w:tcW w:w="804" w:type="pct"/>
            <w:shd w:val="clear" w:color="auto" w:fill="auto"/>
            <w:vAlign w:val="center"/>
          </w:tcPr>
          <w:p w:rsidR="00680FE9" w:rsidRDefault="00165F4B" w:rsidP="0091777C">
            <w:pPr>
              <w:jc w:val="right"/>
              <w:rPr>
                <w:rFonts w:ascii="Calibri" w:hAnsi="Calibri"/>
                <w:color w:val="000000"/>
              </w:rPr>
            </w:pPr>
            <w:r w:rsidRPr="00165F4B">
              <w:rPr>
                <w:rFonts w:ascii="Calibri" w:hAnsi="Calibri"/>
                <w:color w:val="000000"/>
              </w:rPr>
              <w:t>23 465,29</w:t>
            </w:r>
          </w:p>
        </w:tc>
        <w:tc>
          <w:tcPr>
            <w:tcW w:w="669" w:type="pct"/>
            <w:shd w:val="clear" w:color="auto" w:fill="auto"/>
            <w:vAlign w:val="center"/>
          </w:tcPr>
          <w:p w:rsidR="00680FE9" w:rsidRDefault="0091777C" w:rsidP="0091777C">
            <w:pPr>
              <w:jc w:val="right"/>
              <w:rPr>
                <w:rFonts w:ascii="Calibri" w:hAnsi="Calibri"/>
                <w:color w:val="000000"/>
              </w:rPr>
            </w:pPr>
            <w:r>
              <w:rPr>
                <w:rFonts w:ascii="Calibri" w:hAnsi="Calibri"/>
                <w:color w:val="000000"/>
              </w:rPr>
              <w:t>11 668,95</w:t>
            </w:r>
          </w:p>
        </w:tc>
        <w:tc>
          <w:tcPr>
            <w:tcW w:w="934" w:type="pct"/>
            <w:shd w:val="clear" w:color="auto" w:fill="auto"/>
            <w:vAlign w:val="center"/>
          </w:tcPr>
          <w:p w:rsidR="00680FE9" w:rsidRDefault="003A4EC8" w:rsidP="0091777C">
            <w:pPr>
              <w:jc w:val="right"/>
              <w:rPr>
                <w:rFonts w:ascii="Calibri" w:hAnsi="Calibri"/>
                <w:color w:val="000000"/>
              </w:rPr>
            </w:pPr>
            <w:r w:rsidRPr="003A4EC8">
              <w:rPr>
                <w:rFonts w:ascii="Calibri" w:hAnsi="Calibri"/>
                <w:color w:val="000000"/>
              </w:rPr>
              <w:t>11,79%</w:t>
            </w: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326665" w:rsidRDefault="00680FE9" w:rsidP="00D34B67">
            <w:r w:rsidRPr="00326665">
              <w:t>633001 Materiál - Interiérové vybavenie</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84 070,00</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rsidRPr="00326665">
              <w:t>633002 Materiál Výpočtová technika</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48 662,20</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t xml:space="preserve">633003 Materiál Telekomunikačná technika </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896DFB" w:rsidRDefault="00680FE9" w:rsidP="00D34B67">
            <w:r w:rsidRPr="00896DFB">
              <w:t>633004 Materiál Prevádzkové stroje, prístroje, zariadenie, technika a náradie</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15 820,50</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rsidRPr="00896DFB">
              <w:t>633005 Materiál Špeciálne stroje, prístroje, zariadenie, technika a náradie</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t xml:space="preserve">633006 Všeobecný materiál </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22 630,00</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8E20F2" w:rsidRDefault="00680FE9" w:rsidP="00D34B67">
            <w:r w:rsidRPr="008E20F2">
              <w:t>633009 Materiál Knihy, časopisy, noviny , učebnice, učebné pomôcky a kompenzačné pomôcky</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8E20F2" w:rsidRDefault="00680FE9" w:rsidP="00D34B67">
            <w:r w:rsidRPr="008E20F2">
              <w:t>633013 Materiál Softvér</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8 330,00</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rsidRPr="008E20F2">
              <w:t>633018 Licencie</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1129D3" w:rsidRDefault="00680FE9" w:rsidP="00D34B67">
            <w:r w:rsidRPr="001129D3">
              <w:t>635002 Údržba Výpočtovej techniky</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1129D3" w:rsidRDefault="00680FE9" w:rsidP="00D34B67">
            <w:r w:rsidRPr="001129D3">
              <w:t xml:space="preserve">635004 Údržba Prevádzkových strojov, prístrojov, </w:t>
            </w:r>
            <w:r w:rsidRPr="001129D3">
              <w:lastRenderedPageBreak/>
              <w:t>zariadení, techniky a náradia</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rsidRPr="001129D3">
              <w:lastRenderedPageBreak/>
              <w:t>635009 Údržba softwéru</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8E0B3B" w:rsidRDefault="00680FE9" w:rsidP="00D34B67">
            <w:r w:rsidRPr="008E0B3B">
              <w:t>637001 Školenia, kurzy, semináre, porady, konferencie, sympóziá</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10 000,00</w:t>
            </w:r>
          </w:p>
        </w:tc>
        <w:tc>
          <w:tcPr>
            <w:tcW w:w="802" w:type="pct"/>
            <w:shd w:val="clear" w:color="auto" w:fill="auto"/>
            <w:vAlign w:val="center"/>
          </w:tcPr>
          <w:p w:rsidR="00680FE9" w:rsidRDefault="00727F92" w:rsidP="0091777C">
            <w:pPr>
              <w:jc w:val="right"/>
              <w:rPr>
                <w:rFonts w:ascii="Calibri" w:hAnsi="Calibri"/>
                <w:color w:val="000000"/>
              </w:rPr>
            </w:pPr>
            <w:r w:rsidRPr="00727F92">
              <w:rPr>
                <w:rFonts w:ascii="Calibri" w:hAnsi="Calibri"/>
                <w:color w:val="000000"/>
              </w:rPr>
              <w:t>909,88</w:t>
            </w:r>
          </w:p>
        </w:tc>
        <w:tc>
          <w:tcPr>
            <w:tcW w:w="804" w:type="pct"/>
            <w:shd w:val="clear" w:color="auto" w:fill="auto"/>
            <w:vAlign w:val="center"/>
          </w:tcPr>
          <w:p w:rsidR="00680FE9" w:rsidRDefault="00165F4B" w:rsidP="0091777C">
            <w:pPr>
              <w:jc w:val="right"/>
              <w:rPr>
                <w:rFonts w:ascii="Calibri" w:hAnsi="Calibri"/>
                <w:color w:val="000000"/>
              </w:rPr>
            </w:pPr>
            <w:r w:rsidRPr="00165F4B">
              <w:rPr>
                <w:rFonts w:ascii="Calibri" w:hAnsi="Calibri"/>
                <w:color w:val="000000"/>
              </w:rPr>
              <w:t>909,88</w:t>
            </w: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8E0B3B" w:rsidRDefault="00680FE9" w:rsidP="00D34B67">
            <w:r w:rsidRPr="008E0B3B">
              <w:t>637003 Propagácia, reklama a inzercia</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8 537,88</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rsidRPr="008E0B3B">
              <w:t>637004 Všeobecné služby</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2 500,00</w:t>
            </w:r>
          </w:p>
        </w:tc>
        <w:tc>
          <w:tcPr>
            <w:tcW w:w="802" w:type="pct"/>
            <w:shd w:val="clear" w:color="auto" w:fill="auto"/>
            <w:vAlign w:val="center"/>
          </w:tcPr>
          <w:p w:rsidR="00680FE9" w:rsidRDefault="00727F92" w:rsidP="0091777C">
            <w:pPr>
              <w:jc w:val="right"/>
              <w:rPr>
                <w:rFonts w:ascii="Calibri" w:hAnsi="Calibri"/>
                <w:color w:val="000000"/>
              </w:rPr>
            </w:pPr>
            <w:r w:rsidRPr="00727F92">
              <w:rPr>
                <w:rFonts w:ascii="Calibri" w:hAnsi="Calibri"/>
                <w:color w:val="000000"/>
              </w:rPr>
              <w:t>1 210,71</w:t>
            </w:r>
          </w:p>
        </w:tc>
        <w:tc>
          <w:tcPr>
            <w:tcW w:w="804" w:type="pct"/>
            <w:shd w:val="clear" w:color="auto" w:fill="auto"/>
            <w:vAlign w:val="center"/>
          </w:tcPr>
          <w:p w:rsidR="00680FE9" w:rsidRDefault="00165F4B" w:rsidP="0091777C">
            <w:pPr>
              <w:jc w:val="right"/>
              <w:rPr>
                <w:rFonts w:ascii="Calibri" w:hAnsi="Calibri"/>
                <w:color w:val="000000"/>
              </w:rPr>
            </w:pPr>
            <w:r w:rsidRPr="00165F4B">
              <w:rPr>
                <w:rFonts w:ascii="Calibri" w:hAnsi="Calibri"/>
                <w:color w:val="000000"/>
              </w:rPr>
              <w:t>1 210,71</w:t>
            </w:r>
          </w:p>
        </w:tc>
        <w:tc>
          <w:tcPr>
            <w:tcW w:w="669" w:type="pct"/>
            <w:shd w:val="clear" w:color="auto" w:fill="auto"/>
            <w:vAlign w:val="center"/>
          </w:tcPr>
          <w:p w:rsidR="00680FE9" w:rsidRDefault="0091777C" w:rsidP="0091777C">
            <w:pPr>
              <w:jc w:val="right"/>
              <w:rPr>
                <w:rFonts w:ascii="Calibri" w:hAnsi="Calibri"/>
                <w:color w:val="000000"/>
              </w:rPr>
            </w:pPr>
            <w:r>
              <w:rPr>
                <w:rFonts w:ascii="Calibri" w:hAnsi="Calibri"/>
                <w:color w:val="000000"/>
              </w:rPr>
              <w:t>1 210,71</w:t>
            </w:r>
          </w:p>
        </w:tc>
        <w:tc>
          <w:tcPr>
            <w:tcW w:w="934" w:type="pct"/>
            <w:shd w:val="clear" w:color="auto" w:fill="auto"/>
            <w:vAlign w:val="center"/>
          </w:tcPr>
          <w:p w:rsidR="00680FE9" w:rsidRDefault="003A4EC8" w:rsidP="0091777C">
            <w:pPr>
              <w:jc w:val="right"/>
              <w:rPr>
                <w:rFonts w:ascii="Calibri" w:hAnsi="Calibri"/>
                <w:color w:val="000000"/>
              </w:rPr>
            </w:pPr>
            <w:r w:rsidRPr="003A4EC8">
              <w:rPr>
                <w:rFonts w:ascii="Calibri" w:hAnsi="Calibri"/>
                <w:color w:val="000000"/>
              </w:rPr>
              <w:t>48,43%</w:t>
            </w: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0659C1" w:rsidRDefault="00680FE9" w:rsidP="00D34B67">
            <w:r w:rsidRPr="000659C1">
              <w:t>637005 Špeciálne služby</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0659C1" w:rsidRDefault="00680FE9" w:rsidP="00D34B67">
            <w:r w:rsidRPr="000659C1">
              <w:t>637011 Štúdie, expertízy, posudky</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rsidRPr="000659C1">
              <w:t>637012 Poplatky a odvody</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153502" w:rsidRDefault="00680FE9" w:rsidP="00D34B67">
            <w:r w:rsidRPr="00153502">
              <w:t>637015 Poistné iné ako do ZP, SP a povinného poistenia vozidla</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16 000,00</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153502" w:rsidRDefault="00680FE9" w:rsidP="00D34B67">
            <w:r w:rsidRPr="00153502">
              <w:t>637027 Odmeny zamestnancov mimopracovného pomeru</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23 641,50</w:t>
            </w:r>
          </w:p>
        </w:tc>
        <w:tc>
          <w:tcPr>
            <w:tcW w:w="802" w:type="pct"/>
            <w:shd w:val="clear" w:color="auto" w:fill="auto"/>
            <w:vAlign w:val="center"/>
          </w:tcPr>
          <w:p w:rsidR="00680FE9" w:rsidRDefault="00727F92" w:rsidP="0091777C">
            <w:pPr>
              <w:jc w:val="right"/>
              <w:rPr>
                <w:rFonts w:ascii="Calibri" w:hAnsi="Calibri"/>
                <w:color w:val="000000"/>
              </w:rPr>
            </w:pPr>
            <w:r w:rsidRPr="00727F92">
              <w:rPr>
                <w:rFonts w:ascii="Calibri" w:hAnsi="Calibri"/>
                <w:color w:val="000000"/>
              </w:rPr>
              <w:t>1 437,41</w:t>
            </w:r>
          </w:p>
        </w:tc>
        <w:tc>
          <w:tcPr>
            <w:tcW w:w="804" w:type="pct"/>
            <w:shd w:val="clear" w:color="auto" w:fill="auto"/>
            <w:vAlign w:val="center"/>
          </w:tcPr>
          <w:p w:rsidR="00680FE9" w:rsidRDefault="00165F4B" w:rsidP="0091777C">
            <w:pPr>
              <w:jc w:val="right"/>
              <w:rPr>
                <w:rFonts w:ascii="Calibri" w:hAnsi="Calibri"/>
                <w:color w:val="000000"/>
              </w:rPr>
            </w:pPr>
            <w:r w:rsidRPr="00165F4B">
              <w:rPr>
                <w:rFonts w:ascii="Calibri" w:hAnsi="Calibri"/>
                <w:color w:val="000000"/>
              </w:rPr>
              <w:t>1 437,41</w:t>
            </w:r>
          </w:p>
        </w:tc>
        <w:tc>
          <w:tcPr>
            <w:tcW w:w="669" w:type="pct"/>
            <w:shd w:val="clear" w:color="auto" w:fill="auto"/>
            <w:vAlign w:val="center"/>
          </w:tcPr>
          <w:p w:rsidR="00680FE9" w:rsidRDefault="0091777C" w:rsidP="0091777C">
            <w:pPr>
              <w:jc w:val="right"/>
              <w:rPr>
                <w:rFonts w:ascii="Calibri" w:hAnsi="Calibri"/>
                <w:color w:val="000000"/>
              </w:rPr>
            </w:pPr>
            <w:r>
              <w:rPr>
                <w:rFonts w:ascii="Calibri" w:hAnsi="Calibri"/>
                <w:color w:val="000000"/>
              </w:rPr>
              <w:t>1 068,62</w:t>
            </w:r>
          </w:p>
        </w:tc>
        <w:tc>
          <w:tcPr>
            <w:tcW w:w="934" w:type="pct"/>
            <w:shd w:val="clear" w:color="auto" w:fill="auto"/>
            <w:vAlign w:val="center"/>
          </w:tcPr>
          <w:p w:rsidR="00680FE9" w:rsidRDefault="003A4EC8" w:rsidP="0091777C">
            <w:pPr>
              <w:jc w:val="right"/>
              <w:rPr>
                <w:rFonts w:ascii="Calibri" w:hAnsi="Calibri"/>
                <w:color w:val="000000"/>
              </w:rPr>
            </w:pPr>
            <w:r w:rsidRPr="003A4EC8">
              <w:rPr>
                <w:rFonts w:ascii="Calibri" w:hAnsi="Calibri"/>
                <w:color w:val="000000"/>
              </w:rPr>
              <w:t>4,52%</w:t>
            </w: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rsidRPr="00153502">
              <w:t>711003 Nákup softvéru</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44 000,00</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94070C" w:rsidRDefault="00680FE9" w:rsidP="00D34B67">
            <w:r w:rsidRPr="0094070C">
              <w:t>711004 Nákup licencií</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94070C" w:rsidRDefault="00680FE9" w:rsidP="00D34B67">
            <w:r w:rsidRPr="0094070C">
              <w:t>713001 Nákup interiérového vybavenia</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rsidRPr="0094070C">
              <w:t>713002 Nákup výpočtovej techniky</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925 094,00</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rsidRPr="00A02D4C">
              <w:t>713003 Nákup telekomunikačnej techniky</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F47E8E" w:rsidRDefault="00680FE9" w:rsidP="00D34B67">
            <w:r w:rsidRPr="00F47E8E">
              <w:t>713004 Nákup prevádzkových strojov, prístrojov, zariadení, techniky a náradia</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1 269 578,48</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F47E8E" w:rsidRDefault="00680FE9" w:rsidP="00D34B67">
            <w:r w:rsidRPr="00F47E8E">
              <w:t>713005 Nákup špeciálnych strojov, prístrojov, zariadení, techniky, náradia a materiálu</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rsidRPr="00F47E8E">
              <w:t xml:space="preserve">713006 Nákup komunikačnej </w:t>
            </w:r>
            <w:r w:rsidRPr="00F47E8E">
              <w:lastRenderedPageBreak/>
              <w:t>infraštruktúry</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lastRenderedPageBreak/>
              <w:t>76 000,00</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3A20D3" w:rsidRDefault="00680FE9" w:rsidP="00D34B67">
            <w:r w:rsidRPr="003A20D3">
              <w:lastRenderedPageBreak/>
              <w:t>716 Prípravná a projektová dokumentácia</w:t>
            </w:r>
          </w:p>
        </w:tc>
        <w:tc>
          <w:tcPr>
            <w:tcW w:w="739" w:type="pct"/>
            <w:shd w:val="clear" w:color="auto" w:fill="auto"/>
            <w:vAlign w:val="center"/>
          </w:tcPr>
          <w:p w:rsidR="00680FE9" w:rsidRDefault="00165F4B" w:rsidP="0091777C">
            <w:pPr>
              <w:jc w:val="right"/>
              <w:rPr>
                <w:rFonts w:ascii="Calibri" w:hAnsi="Calibri"/>
                <w:color w:val="000000"/>
              </w:rPr>
            </w:pPr>
            <w:r w:rsidRPr="00165F4B">
              <w:rPr>
                <w:rFonts w:ascii="Calibri" w:hAnsi="Calibri"/>
                <w:color w:val="000000"/>
              </w:rPr>
              <w:t>34 780,00</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3A20D3" w:rsidRDefault="00680FE9" w:rsidP="00D34B67">
            <w:r w:rsidRPr="003A20D3">
              <w:t>717001 Realizácia nových stavieb</w:t>
            </w:r>
          </w:p>
        </w:tc>
        <w:tc>
          <w:tcPr>
            <w:tcW w:w="739" w:type="pct"/>
            <w:shd w:val="clear" w:color="auto" w:fill="auto"/>
            <w:vAlign w:val="center"/>
          </w:tcPr>
          <w:p w:rsidR="00680FE9" w:rsidRDefault="00680FE9" w:rsidP="0091777C">
            <w:pPr>
              <w:jc w:val="right"/>
              <w:rPr>
                <w:rFonts w:ascii="Calibri" w:hAnsi="Calibri"/>
                <w:color w:val="000000"/>
              </w:rPr>
            </w:pP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rsidRPr="003A20D3">
              <w:t>717002 Rekonštrukcia a modernizácia stavieb</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628 954,53</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542E66" w:rsidRDefault="00680FE9" w:rsidP="00D34B67">
            <w:r w:rsidRPr="00542E66">
              <w:t>717003 Prístavby, nadstavby, stavebné úpravy</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125 370,69</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Default="00680FE9" w:rsidP="00D34B67">
            <w:r w:rsidRPr="00542E66">
              <w:t>718004 Modernizácia Prevádzkových strojov, prístrojov, zariadení, techniky a náradia</w:t>
            </w:r>
          </w:p>
        </w:tc>
        <w:tc>
          <w:tcPr>
            <w:tcW w:w="739" w:type="pct"/>
            <w:shd w:val="clear" w:color="auto" w:fill="auto"/>
            <w:vAlign w:val="center"/>
          </w:tcPr>
          <w:p w:rsidR="00680FE9" w:rsidRDefault="0091777C" w:rsidP="0091777C">
            <w:pPr>
              <w:jc w:val="right"/>
              <w:rPr>
                <w:rFonts w:ascii="Calibri" w:hAnsi="Calibri"/>
                <w:color w:val="000000"/>
              </w:rPr>
            </w:pPr>
            <w:r w:rsidRPr="0091777C">
              <w:rPr>
                <w:rFonts w:ascii="Calibri" w:hAnsi="Calibri"/>
                <w:color w:val="000000"/>
              </w:rPr>
              <w:t>8 812,67</w:t>
            </w:r>
          </w:p>
        </w:tc>
        <w:tc>
          <w:tcPr>
            <w:tcW w:w="802" w:type="pct"/>
            <w:shd w:val="clear" w:color="auto" w:fill="auto"/>
            <w:vAlign w:val="center"/>
          </w:tcPr>
          <w:p w:rsidR="00680FE9" w:rsidRDefault="00680FE9" w:rsidP="0091777C">
            <w:pPr>
              <w:jc w:val="right"/>
              <w:rPr>
                <w:rFonts w:ascii="Calibri" w:hAnsi="Calibri"/>
                <w:color w:val="000000"/>
              </w:rPr>
            </w:pPr>
          </w:p>
        </w:tc>
        <w:tc>
          <w:tcPr>
            <w:tcW w:w="804" w:type="pct"/>
            <w:shd w:val="clear" w:color="auto" w:fill="auto"/>
            <w:vAlign w:val="center"/>
          </w:tcPr>
          <w:p w:rsidR="00680FE9" w:rsidRDefault="00680FE9" w:rsidP="0091777C">
            <w:pPr>
              <w:jc w:val="right"/>
              <w:rPr>
                <w:rFonts w:ascii="Calibri" w:hAnsi="Calibri"/>
                <w:color w:val="000000"/>
              </w:rPr>
            </w:pPr>
          </w:p>
        </w:tc>
        <w:tc>
          <w:tcPr>
            <w:tcW w:w="669" w:type="pct"/>
            <w:shd w:val="clear" w:color="auto" w:fill="auto"/>
            <w:vAlign w:val="center"/>
          </w:tcPr>
          <w:p w:rsidR="00680FE9" w:rsidRDefault="00680FE9" w:rsidP="0091777C">
            <w:pPr>
              <w:jc w:val="right"/>
              <w:rPr>
                <w:rFonts w:ascii="Calibri" w:hAnsi="Calibri"/>
                <w:color w:val="000000"/>
              </w:rPr>
            </w:pPr>
          </w:p>
        </w:tc>
        <w:tc>
          <w:tcPr>
            <w:tcW w:w="934" w:type="pct"/>
            <w:shd w:val="clear" w:color="auto" w:fill="auto"/>
            <w:vAlign w:val="center"/>
          </w:tcPr>
          <w:p w:rsidR="00680FE9" w:rsidRDefault="00680FE9" w:rsidP="0091777C">
            <w:pPr>
              <w:jc w:val="right"/>
              <w:rPr>
                <w:rFonts w:ascii="Calibri" w:hAnsi="Calibri"/>
                <w:color w:val="000000"/>
              </w:rPr>
            </w:pP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E3587A" w:rsidRDefault="00680FE9" w:rsidP="00D34B67">
            <w:pPr>
              <w:rPr>
                <w:rFonts w:cs="Arial"/>
                <w:b/>
              </w:rPr>
            </w:pPr>
            <w:r w:rsidRPr="00E3587A">
              <w:rPr>
                <w:rFonts w:cs="Arial"/>
                <w:b/>
                <w:bCs/>
              </w:rPr>
              <w:t>Spolu</w:t>
            </w:r>
          </w:p>
        </w:tc>
        <w:tc>
          <w:tcPr>
            <w:tcW w:w="739" w:type="pct"/>
            <w:shd w:val="clear" w:color="auto" w:fill="auto"/>
            <w:vAlign w:val="center"/>
          </w:tcPr>
          <w:p w:rsidR="00680FE9" w:rsidRDefault="00165F4B" w:rsidP="0091777C">
            <w:pPr>
              <w:jc w:val="right"/>
              <w:rPr>
                <w:rFonts w:ascii="Calibri" w:hAnsi="Calibri"/>
                <w:color w:val="000000"/>
              </w:rPr>
            </w:pPr>
            <w:r w:rsidRPr="00165F4B">
              <w:rPr>
                <w:rFonts w:ascii="Calibri" w:hAnsi="Calibri"/>
                <w:color w:val="000000"/>
              </w:rPr>
              <w:t>4 486 424,53</w:t>
            </w:r>
          </w:p>
        </w:tc>
        <w:tc>
          <w:tcPr>
            <w:tcW w:w="802" w:type="pct"/>
            <w:shd w:val="clear" w:color="auto" w:fill="auto"/>
            <w:vAlign w:val="center"/>
          </w:tcPr>
          <w:p w:rsidR="00680FE9" w:rsidRDefault="00727F92" w:rsidP="0091777C">
            <w:pPr>
              <w:jc w:val="right"/>
              <w:rPr>
                <w:rFonts w:ascii="Calibri" w:hAnsi="Calibri"/>
                <w:color w:val="000000"/>
              </w:rPr>
            </w:pPr>
            <w:r w:rsidRPr="00727F92">
              <w:rPr>
                <w:rFonts w:ascii="Calibri" w:hAnsi="Calibri"/>
                <w:color w:val="000000"/>
              </w:rPr>
              <w:t>673 053,83</w:t>
            </w:r>
          </w:p>
        </w:tc>
        <w:tc>
          <w:tcPr>
            <w:tcW w:w="804" w:type="pct"/>
            <w:shd w:val="clear" w:color="auto" w:fill="auto"/>
            <w:vAlign w:val="center"/>
          </w:tcPr>
          <w:p w:rsidR="00680FE9" w:rsidRDefault="00165F4B" w:rsidP="0091777C">
            <w:pPr>
              <w:jc w:val="right"/>
              <w:rPr>
                <w:rFonts w:ascii="Calibri" w:hAnsi="Calibri"/>
                <w:color w:val="000000"/>
              </w:rPr>
            </w:pPr>
            <w:r w:rsidRPr="00165F4B">
              <w:rPr>
                <w:rFonts w:ascii="Calibri" w:hAnsi="Calibri"/>
                <w:color w:val="000000"/>
              </w:rPr>
              <w:t>628 428,32</w:t>
            </w:r>
          </w:p>
        </w:tc>
        <w:tc>
          <w:tcPr>
            <w:tcW w:w="669" w:type="pct"/>
            <w:shd w:val="clear" w:color="auto" w:fill="auto"/>
            <w:vAlign w:val="center"/>
          </w:tcPr>
          <w:p w:rsidR="00680FE9" w:rsidRDefault="0091777C" w:rsidP="0091777C">
            <w:pPr>
              <w:jc w:val="right"/>
              <w:rPr>
                <w:rFonts w:ascii="Calibri" w:hAnsi="Calibri"/>
                <w:color w:val="000000"/>
              </w:rPr>
            </w:pPr>
            <w:r>
              <w:rPr>
                <w:rFonts w:ascii="Calibri" w:hAnsi="Calibri"/>
                <w:color w:val="000000"/>
              </w:rPr>
              <w:t>382 460,32</w:t>
            </w:r>
          </w:p>
        </w:tc>
        <w:tc>
          <w:tcPr>
            <w:tcW w:w="934" w:type="pct"/>
            <w:shd w:val="clear" w:color="auto" w:fill="auto"/>
            <w:vAlign w:val="center"/>
          </w:tcPr>
          <w:p w:rsidR="00680FE9" w:rsidRDefault="003A4EC8" w:rsidP="0091777C">
            <w:pPr>
              <w:jc w:val="right"/>
              <w:rPr>
                <w:rFonts w:ascii="Calibri" w:hAnsi="Calibri"/>
                <w:color w:val="000000"/>
              </w:rPr>
            </w:pPr>
            <w:r w:rsidRPr="003A4EC8">
              <w:rPr>
                <w:rFonts w:ascii="Calibri" w:hAnsi="Calibri"/>
                <w:color w:val="000000"/>
              </w:rPr>
              <w:t>8,52%</w:t>
            </w:r>
          </w:p>
        </w:tc>
      </w:tr>
      <w:tr w:rsidR="00680FE9" w:rsidRPr="00E156FE" w:rsidTr="0091777C">
        <w:tc>
          <w:tcPr>
            <w:tcW w:w="1052" w:type="pct"/>
            <w:tcBorders>
              <w:top w:val="single" w:sz="6" w:space="0" w:color="auto"/>
              <w:bottom w:val="single" w:sz="6" w:space="0" w:color="auto"/>
            </w:tcBorders>
            <w:shd w:val="clear" w:color="auto" w:fill="9BD4F9" w:themeFill="background2" w:themeFillShade="E6"/>
            <w:vAlign w:val="center"/>
          </w:tcPr>
          <w:p w:rsidR="00680FE9" w:rsidRPr="00E3587A" w:rsidRDefault="00680FE9" w:rsidP="00D34B67">
            <w:pPr>
              <w:rPr>
                <w:rFonts w:cs="Arial"/>
                <w:b/>
                <w:bCs/>
              </w:rPr>
            </w:pPr>
          </w:p>
        </w:tc>
        <w:tc>
          <w:tcPr>
            <w:tcW w:w="739" w:type="pct"/>
            <w:shd w:val="clear" w:color="auto" w:fill="auto"/>
            <w:vAlign w:val="center"/>
          </w:tcPr>
          <w:p w:rsidR="00680FE9" w:rsidRPr="00E3587A" w:rsidRDefault="00680FE9" w:rsidP="00D34B67">
            <w:pPr>
              <w:rPr>
                <w:rFonts w:cs="Arial"/>
              </w:rPr>
            </w:pPr>
          </w:p>
        </w:tc>
        <w:tc>
          <w:tcPr>
            <w:tcW w:w="802" w:type="pct"/>
            <w:shd w:val="clear" w:color="auto" w:fill="auto"/>
            <w:vAlign w:val="center"/>
          </w:tcPr>
          <w:p w:rsidR="00680FE9" w:rsidRPr="00E3587A" w:rsidRDefault="00680FE9" w:rsidP="00D34B67">
            <w:pPr>
              <w:rPr>
                <w:rFonts w:cs="Arial"/>
              </w:rPr>
            </w:pPr>
          </w:p>
        </w:tc>
        <w:tc>
          <w:tcPr>
            <w:tcW w:w="804" w:type="pct"/>
            <w:shd w:val="clear" w:color="auto" w:fill="auto"/>
            <w:vAlign w:val="center"/>
          </w:tcPr>
          <w:p w:rsidR="00680FE9" w:rsidRPr="00E3587A" w:rsidRDefault="00680FE9" w:rsidP="00D34B67">
            <w:pPr>
              <w:rPr>
                <w:rFonts w:cs="Arial"/>
              </w:rPr>
            </w:pPr>
          </w:p>
        </w:tc>
        <w:tc>
          <w:tcPr>
            <w:tcW w:w="669" w:type="pct"/>
            <w:shd w:val="clear" w:color="auto" w:fill="auto"/>
            <w:vAlign w:val="center"/>
          </w:tcPr>
          <w:p w:rsidR="00680FE9" w:rsidRPr="00E3587A" w:rsidRDefault="00680FE9" w:rsidP="00D34B67">
            <w:pPr>
              <w:rPr>
                <w:rFonts w:cs="Arial"/>
              </w:rPr>
            </w:pPr>
          </w:p>
        </w:tc>
        <w:tc>
          <w:tcPr>
            <w:tcW w:w="934" w:type="pct"/>
            <w:shd w:val="clear" w:color="auto" w:fill="auto"/>
            <w:vAlign w:val="center"/>
          </w:tcPr>
          <w:p w:rsidR="00680FE9" w:rsidRPr="00E3587A" w:rsidRDefault="00680FE9" w:rsidP="00D34B67">
            <w:pPr>
              <w:jc w:val="right"/>
              <w:rPr>
                <w:rFonts w:cs="Arial"/>
              </w:rPr>
            </w:pPr>
          </w:p>
        </w:tc>
      </w:tr>
      <w:tr w:rsidR="00680FE9" w:rsidRPr="00E156FE" w:rsidTr="0091777C">
        <w:tc>
          <w:tcPr>
            <w:tcW w:w="5000" w:type="pct"/>
            <w:gridSpan w:val="6"/>
            <w:tcBorders>
              <w:top w:val="single" w:sz="6" w:space="0" w:color="auto"/>
              <w:bottom w:val="single" w:sz="6" w:space="0" w:color="auto"/>
            </w:tcBorders>
            <w:shd w:val="clear" w:color="auto" w:fill="9BD4F9" w:themeFill="background2" w:themeFillShade="E6"/>
            <w:vAlign w:val="center"/>
          </w:tcPr>
          <w:p w:rsidR="00680FE9" w:rsidRPr="00E3587A" w:rsidRDefault="00680FE9" w:rsidP="00D34B67">
            <w:pPr>
              <w:rPr>
                <w:rFonts w:cs="Arial"/>
                <w:b/>
              </w:rPr>
            </w:pPr>
            <w:r w:rsidRPr="00E3587A">
              <w:rPr>
                <w:rFonts w:cs="Arial"/>
                <w:b/>
              </w:rPr>
              <w:t>Zdôvodnenie nesúladu skutočného a plánovaného stavu finančnej realizácie projektu</w:t>
            </w:r>
            <w:r>
              <w:rPr>
                <w:rStyle w:val="Odkaznapoznmkupodiarou"/>
                <w:rFonts w:cs="Arial"/>
                <w:b/>
              </w:rPr>
              <w:t>5</w:t>
            </w:r>
          </w:p>
        </w:tc>
      </w:tr>
      <w:tr w:rsidR="00680FE9" w:rsidRPr="00E156FE" w:rsidTr="0091777C">
        <w:tc>
          <w:tcPr>
            <w:tcW w:w="1052" w:type="pct"/>
            <w:tcBorders>
              <w:top w:val="single" w:sz="6" w:space="0" w:color="auto"/>
              <w:bottom w:val="single" w:sz="12" w:space="0" w:color="auto"/>
            </w:tcBorders>
            <w:shd w:val="clear" w:color="auto" w:fill="9BD4F9" w:themeFill="background2" w:themeFillShade="E6"/>
            <w:vAlign w:val="center"/>
          </w:tcPr>
          <w:p w:rsidR="00680FE9" w:rsidRPr="00E3587A" w:rsidRDefault="00680FE9" w:rsidP="00D34B67">
            <w:pPr>
              <w:rPr>
                <w:rFonts w:cs="Arial"/>
                <w:b/>
                <w:bCs/>
              </w:rPr>
            </w:pPr>
          </w:p>
        </w:tc>
        <w:tc>
          <w:tcPr>
            <w:tcW w:w="3948" w:type="pct"/>
            <w:gridSpan w:val="5"/>
            <w:shd w:val="clear" w:color="auto" w:fill="auto"/>
            <w:vAlign w:val="center"/>
          </w:tcPr>
          <w:p w:rsidR="00680FE9" w:rsidRPr="00E3587A" w:rsidRDefault="00680FE9" w:rsidP="00D34B67">
            <w:pPr>
              <w:rPr>
                <w:rFonts w:cs="Arial"/>
                <w:b/>
              </w:rPr>
            </w:pPr>
          </w:p>
        </w:tc>
      </w:tr>
    </w:tbl>
    <w:p w:rsidR="00EF13F2" w:rsidRDefault="00EF13F2" w:rsidP="005F0BD5"/>
    <w:p w:rsidR="00E3587A" w:rsidRDefault="00E3587A" w:rsidP="005F0BD5"/>
    <w:p w:rsidR="003142EF" w:rsidRPr="008D01A9" w:rsidRDefault="003142EF" w:rsidP="008D01A9">
      <w:r>
        <w:t>________________________</w:t>
      </w:r>
    </w:p>
    <w:p w:rsidR="003142EF" w:rsidRPr="00E8780A" w:rsidRDefault="001C42BD" w:rsidP="003142EF">
      <w:pPr>
        <w:pStyle w:val="Textpoznmkypodiarou"/>
        <w:rPr>
          <w:rFonts w:ascii="Arial Narrow" w:hAnsi="Arial Narrow"/>
          <w:sz w:val="18"/>
          <w:szCs w:val="18"/>
        </w:rPr>
      </w:pPr>
      <w:r>
        <w:rPr>
          <w:rStyle w:val="Odkaznapoznmkupodiarou"/>
          <w:rFonts w:ascii="Arial Narrow" w:hAnsi="Arial Narrow"/>
          <w:sz w:val="18"/>
          <w:szCs w:val="18"/>
        </w:rPr>
        <w:t xml:space="preserve">3 </w:t>
      </w:r>
      <w:r>
        <w:rPr>
          <w:rFonts w:ascii="Arial Narrow" w:hAnsi="Arial Narrow"/>
          <w:sz w:val="18"/>
          <w:szCs w:val="18"/>
        </w:rPr>
        <w:t xml:space="preserve"> </w:t>
      </w:r>
      <w:r w:rsidR="005028DD">
        <w:rPr>
          <w:rFonts w:ascii="Arial Narrow" w:hAnsi="Arial Narrow"/>
          <w:sz w:val="18"/>
          <w:szCs w:val="18"/>
        </w:rPr>
        <w:t>Uvádzať  sumu</w:t>
      </w:r>
      <w:r w:rsidR="003142EF" w:rsidRPr="003425D3">
        <w:rPr>
          <w:rFonts w:ascii="Arial Narrow" w:hAnsi="Arial Narrow"/>
          <w:sz w:val="18"/>
          <w:szCs w:val="18"/>
        </w:rPr>
        <w:t xml:space="preserve"> výdavkov uhradených </w:t>
      </w:r>
      <w:r w:rsidR="003142EF">
        <w:rPr>
          <w:rFonts w:ascii="Arial Narrow" w:hAnsi="Arial Narrow"/>
          <w:sz w:val="18"/>
          <w:szCs w:val="18"/>
        </w:rPr>
        <w:t xml:space="preserve"> zo strany </w:t>
      </w:r>
      <w:r w:rsidR="003142EF" w:rsidRPr="003425D3">
        <w:rPr>
          <w:rFonts w:ascii="Arial Narrow" w:hAnsi="Arial Narrow"/>
          <w:sz w:val="18"/>
          <w:szCs w:val="18"/>
        </w:rPr>
        <w:t>prijímateľ</w:t>
      </w:r>
      <w:r w:rsidR="003142EF">
        <w:rPr>
          <w:rFonts w:ascii="Arial Narrow" w:hAnsi="Arial Narrow"/>
          <w:sz w:val="18"/>
          <w:szCs w:val="18"/>
        </w:rPr>
        <w:t>a dodávateľom</w:t>
      </w:r>
      <w:r w:rsidR="003142EF" w:rsidRPr="003425D3">
        <w:rPr>
          <w:rFonts w:ascii="Arial Narrow" w:hAnsi="Arial Narrow"/>
          <w:sz w:val="18"/>
          <w:szCs w:val="18"/>
        </w:rPr>
        <w:t xml:space="preserve"> za sledované obdobie.</w:t>
      </w:r>
    </w:p>
    <w:p w:rsidR="003142EF" w:rsidRDefault="00E22E36" w:rsidP="003142EF">
      <w:pPr>
        <w:pStyle w:val="Textpoznmkypodiarou"/>
        <w:rPr>
          <w:rFonts w:ascii="Arial Narrow" w:hAnsi="Arial Narrow"/>
          <w:sz w:val="18"/>
          <w:szCs w:val="18"/>
        </w:rPr>
      </w:pPr>
      <w:r w:rsidRPr="00E22E36">
        <w:rPr>
          <w:rStyle w:val="Odkaznapoznmkupodiarou"/>
          <w:rFonts w:ascii="Arial Narrow" w:hAnsi="Arial Narrow"/>
          <w:sz w:val="18"/>
          <w:szCs w:val="18"/>
        </w:rPr>
        <w:t>4</w:t>
      </w:r>
      <w:r w:rsidR="003142EF">
        <w:t xml:space="preserve"> </w:t>
      </w:r>
      <w:r w:rsidR="003142EF">
        <w:rPr>
          <w:rFonts w:ascii="Arial Narrow" w:hAnsi="Arial Narrow"/>
          <w:sz w:val="18"/>
          <w:szCs w:val="18"/>
        </w:rPr>
        <w:t>U</w:t>
      </w:r>
      <w:r w:rsidR="002F7E3A">
        <w:rPr>
          <w:rFonts w:ascii="Arial Narrow" w:hAnsi="Arial Narrow"/>
          <w:sz w:val="18"/>
          <w:szCs w:val="18"/>
        </w:rPr>
        <w:t xml:space="preserve">vádzať </w:t>
      </w:r>
      <w:r w:rsidR="003142EF" w:rsidRPr="00DA76AB">
        <w:rPr>
          <w:rFonts w:ascii="Arial Narrow" w:hAnsi="Arial Narrow"/>
          <w:sz w:val="18"/>
          <w:szCs w:val="18"/>
        </w:rPr>
        <w:t xml:space="preserve"> sumu oprávnených výdavkov v ŽoP </w:t>
      </w:r>
      <w:r w:rsidR="002F7E3A">
        <w:rPr>
          <w:rFonts w:ascii="Arial Narrow" w:hAnsi="Arial Narrow"/>
          <w:sz w:val="18"/>
          <w:szCs w:val="18"/>
        </w:rPr>
        <w:t xml:space="preserve">        </w:t>
      </w:r>
    </w:p>
    <w:p w:rsidR="002F7E3A" w:rsidRDefault="002F7E3A" w:rsidP="003142EF">
      <w:pPr>
        <w:pStyle w:val="Textpoznmkypodiarou"/>
      </w:pPr>
      <w:r>
        <w:rPr>
          <w:rFonts w:ascii="Arial Narrow" w:hAnsi="Arial Narrow"/>
          <w:sz w:val="18"/>
          <w:szCs w:val="18"/>
          <w:vertAlign w:val="superscript"/>
        </w:rPr>
        <w:t xml:space="preserve">5 </w:t>
      </w:r>
      <w:r>
        <w:rPr>
          <w:rFonts w:ascii="Arial Narrow" w:hAnsi="Arial Narrow"/>
          <w:sz w:val="18"/>
          <w:szCs w:val="18"/>
        </w:rPr>
        <w:t xml:space="preserve"> </w:t>
      </w:r>
      <w:r w:rsidRPr="003425D3">
        <w:rPr>
          <w:rFonts w:ascii="Arial Narrow" w:hAnsi="Arial Narrow"/>
          <w:sz w:val="18"/>
          <w:szCs w:val="18"/>
        </w:rPr>
        <w:t>Uvádza</w:t>
      </w:r>
      <w:r>
        <w:rPr>
          <w:rFonts w:ascii="Arial Narrow" w:hAnsi="Arial Narrow"/>
          <w:sz w:val="18"/>
          <w:szCs w:val="18"/>
        </w:rPr>
        <w:t xml:space="preserve">ť </w:t>
      </w:r>
      <w:r w:rsidRPr="003425D3">
        <w:rPr>
          <w:rFonts w:ascii="Arial Narrow" w:hAnsi="Arial Narrow"/>
          <w:sz w:val="18"/>
          <w:szCs w:val="18"/>
        </w:rPr>
        <w:t xml:space="preserve"> iba v prípade nesúladu skutočného a plánovaného stavu finančnej realizácie aktivít projektu</w:t>
      </w:r>
      <w:r w:rsidRPr="00E60F5D">
        <w:rPr>
          <w:rFonts w:ascii="Arial Narrow" w:hAnsi="Arial Narrow"/>
          <w:sz w:val="18"/>
          <w:szCs w:val="18"/>
        </w:rPr>
        <w:t xml:space="preserve"> </w:t>
      </w:r>
      <w:r>
        <w:rPr>
          <w:rFonts w:ascii="Arial Narrow" w:hAnsi="Arial Narrow"/>
          <w:sz w:val="18"/>
          <w:szCs w:val="18"/>
        </w:rPr>
        <w:t xml:space="preserve">podľa </w:t>
      </w:r>
      <w:r w:rsidRPr="00DA76AB">
        <w:rPr>
          <w:rFonts w:ascii="Arial Narrow" w:hAnsi="Arial Narrow"/>
          <w:sz w:val="18"/>
          <w:szCs w:val="18"/>
        </w:rPr>
        <w:t>plánu predkladania  ŽoP</w:t>
      </w:r>
      <w:r>
        <w:rPr>
          <w:rFonts w:ascii="Arial Narrow" w:hAnsi="Arial Narrow"/>
          <w:sz w:val="18"/>
          <w:szCs w:val="18"/>
        </w:rPr>
        <w:t xml:space="preserve"> </w:t>
      </w:r>
      <w:r w:rsidRPr="00424516">
        <w:rPr>
          <w:rFonts w:ascii="Arial Narrow" w:hAnsi="Arial Narrow" w:cs="Arial"/>
          <w:bCs/>
          <w:sz w:val="18"/>
          <w:szCs w:val="18"/>
        </w:rPr>
        <w:t xml:space="preserve"> </w:t>
      </w:r>
      <w:r w:rsidRPr="003425D3">
        <w:rPr>
          <w:rFonts w:ascii="Arial Narrow" w:hAnsi="Arial Narrow" w:cs="Arial"/>
          <w:bCs/>
          <w:sz w:val="18"/>
          <w:szCs w:val="18"/>
        </w:rPr>
        <w:t>vrátane špecifikácie nápravných opatrení.</w:t>
      </w:r>
    </w:p>
    <w:p w:rsidR="00147445" w:rsidRDefault="00147445" w:rsidP="005F0BD5"/>
    <w:p w:rsidR="00E22E36" w:rsidRDefault="00E22E36" w:rsidP="005F0BD5"/>
    <w:p w:rsidR="00D70695" w:rsidRDefault="00147445" w:rsidP="005F0BD5">
      <w:r>
        <w:t>4</w:t>
      </w:r>
      <w:r w:rsidR="00C706AA">
        <w:t xml:space="preserve">. Prílohy </w:t>
      </w:r>
    </w:p>
    <w:p w:rsidR="00D70695" w:rsidRDefault="00D70695" w:rsidP="005F0BD5"/>
    <w:tbl>
      <w:tblPr>
        <w:tblStyle w:val="Mriekatabuky"/>
        <w:tblW w:w="0" w:type="auto"/>
        <w:tblLook w:val="04A0" w:firstRow="1" w:lastRow="0" w:firstColumn="1" w:lastColumn="0" w:noHBand="0" w:noVBand="1"/>
      </w:tblPr>
      <w:tblGrid>
        <w:gridCol w:w="817"/>
        <w:gridCol w:w="8395"/>
      </w:tblGrid>
      <w:tr w:rsidR="00C706AA" w:rsidTr="00C7538A">
        <w:tc>
          <w:tcPr>
            <w:tcW w:w="817" w:type="dxa"/>
            <w:shd w:val="clear" w:color="auto" w:fill="9BD4F9" w:themeFill="background2" w:themeFillShade="E6"/>
          </w:tcPr>
          <w:p w:rsidR="00C706AA" w:rsidRPr="00C706AA" w:rsidRDefault="00C706AA" w:rsidP="005F0BD5">
            <w:pPr>
              <w:rPr>
                <w:b/>
              </w:rPr>
            </w:pPr>
            <w:r w:rsidRPr="00C706AA">
              <w:rPr>
                <w:b/>
              </w:rPr>
              <w:t xml:space="preserve">P.č. </w:t>
            </w:r>
          </w:p>
        </w:tc>
        <w:tc>
          <w:tcPr>
            <w:tcW w:w="8395" w:type="dxa"/>
            <w:shd w:val="clear" w:color="auto" w:fill="9BD4F9" w:themeFill="background2" w:themeFillShade="E6"/>
          </w:tcPr>
          <w:p w:rsidR="00C706AA" w:rsidRPr="00C706AA" w:rsidRDefault="00C706AA" w:rsidP="005F0BD5">
            <w:pPr>
              <w:rPr>
                <w:b/>
              </w:rPr>
            </w:pPr>
            <w:r w:rsidRPr="00C706AA">
              <w:rPr>
                <w:b/>
              </w:rPr>
              <w:t xml:space="preserve">Názov prílohy </w:t>
            </w:r>
          </w:p>
        </w:tc>
      </w:tr>
      <w:tr w:rsidR="00C706AA" w:rsidTr="00C7538A">
        <w:tc>
          <w:tcPr>
            <w:tcW w:w="817" w:type="dxa"/>
            <w:shd w:val="clear" w:color="auto" w:fill="9BD4F9" w:themeFill="background2" w:themeFillShade="E6"/>
          </w:tcPr>
          <w:p w:rsidR="00C706AA" w:rsidRDefault="00C706AA" w:rsidP="005F0BD5">
            <w:r>
              <w:t>1.</w:t>
            </w:r>
          </w:p>
        </w:tc>
        <w:tc>
          <w:tcPr>
            <w:tcW w:w="8395" w:type="dxa"/>
          </w:tcPr>
          <w:p w:rsidR="00C706AA" w:rsidRDefault="00C706AA" w:rsidP="00D62A6B">
            <w:r>
              <w:t xml:space="preserve">Plán predkladania ŽoP </w:t>
            </w:r>
            <w:r w:rsidR="00D62A6B">
              <w:t>na nasledujúci</w:t>
            </w:r>
            <w:r>
              <w:t xml:space="preserve"> mesiac </w:t>
            </w:r>
          </w:p>
        </w:tc>
      </w:tr>
      <w:tr w:rsidR="00C706AA" w:rsidTr="00C7538A">
        <w:tc>
          <w:tcPr>
            <w:tcW w:w="817" w:type="dxa"/>
            <w:shd w:val="clear" w:color="auto" w:fill="9BD4F9" w:themeFill="background2" w:themeFillShade="E6"/>
          </w:tcPr>
          <w:p w:rsidR="00C706AA" w:rsidRDefault="00D2047B" w:rsidP="005F0BD5">
            <w:r>
              <w:t xml:space="preserve">2. </w:t>
            </w:r>
          </w:p>
        </w:tc>
        <w:tc>
          <w:tcPr>
            <w:tcW w:w="8395" w:type="dxa"/>
          </w:tcPr>
          <w:p w:rsidR="00C706AA" w:rsidRDefault="0039448D" w:rsidP="00D2047B">
            <w:r>
              <w:t xml:space="preserve">Fotodokumentácia </w:t>
            </w:r>
          </w:p>
        </w:tc>
      </w:tr>
      <w:tr w:rsidR="00C706AA" w:rsidTr="00C7538A">
        <w:tc>
          <w:tcPr>
            <w:tcW w:w="817" w:type="dxa"/>
            <w:shd w:val="clear" w:color="auto" w:fill="9BD4F9" w:themeFill="background2" w:themeFillShade="E6"/>
          </w:tcPr>
          <w:p w:rsidR="00C706AA" w:rsidRDefault="00D2047B" w:rsidP="005F0BD5">
            <w:r>
              <w:t xml:space="preserve">3. </w:t>
            </w:r>
          </w:p>
        </w:tc>
        <w:tc>
          <w:tcPr>
            <w:tcW w:w="8395" w:type="dxa"/>
          </w:tcPr>
          <w:p w:rsidR="00C706AA" w:rsidRDefault="00C706AA" w:rsidP="005F0BD5"/>
        </w:tc>
      </w:tr>
      <w:tr w:rsidR="00C706AA" w:rsidTr="00C7538A">
        <w:tc>
          <w:tcPr>
            <w:tcW w:w="817" w:type="dxa"/>
            <w:shd w:val="clear" w:color="auto" w:fill="9BD4F9" w:themeFill="background2" w:themeFillShade="E6"/>
          </w:tcPr>
          <w:p w:rsidR="00C706AA" w:rsidRDefault="00C706AA" w:rsidP="005F0BD5"/>
        </w:tc>
        <w:tc>
          <w:tcPr>
            <w:tcW w:w="8395" w:type="dxa"/>
          </w:tcPr>
          <w:p w:rsidR="00C706AA" w:rsidRDefault="00C706AA" w:rsidP="005F0BD5"/>
        </w:tc>
      </w:tr>
      <w:tr w:rsidR="00C706AA" w:rsidTr="00C7538A">
        <w:tc>
          <w:tcPr>
            <w:tcW w:w="817" w:type="dxa"/>
            <w:shd w:val="clear" w:color="auto" w:fill="9BD4F9" w:themeFill="background2" w:themeFillShade="E6"/>
          </w:tcPr>
          <w:p w:rsidR="00C706AA" w:rsidRDefault="00C706AA" w:rsidP="005F0BD5"/>
        </w:tc>
        <w:tc>
          <w:tcPr>
            <w:tcW w:w="8395" w:type="dxa"/>
          </w:tcPr>
          <w:p w:rsidR="00C706AA" w:rsidRDefault="00C706AA" w:rsidP="005F0BD5"/>
        </w:tc>
      </w:tr>
    </w:tbl>
    <w:p w:rsidR="00D70695" w:rsidRDefault="00D70695" w:rsidP="005F0BD5"/>
    <w:p w:rsidR="00D70695" w:rsidRDefault="00D70695" w:rsidP="005F0BD5"/>
    <w:p w:rsidR="00D70695" w:rsidRDefault="00D70695" w:rsidP="005F0BD5"/>
    <w:p w:rsidR="00D70695" w:rsidRDefault="00D70695" w:rsidP="005F0BD5"/>
    <w:p w:rsidR="00D70695" w:rsidRDefault="00D70695" w:rsidP="005F0BD5"/>
    <w:p w:rsidR="00D70695" w:rsidRDefault="00D70695" w:rsidP="005F0BD5"/>
    <w:p w:rsidR="00147445" w:rsidRDefault="00147445" w:rsidP="005F0BD5"/>
    <w:p w:rsidR="00147445" w:rsidRDefault="00147445" w:rsidP="005F0BD5"/>
    <w:p w:rsidR="00147445" w:rsidRDefault="00147445" w:rsidP="005F0BD5"/>
    <w:p w:rsidR="00147445" w:rsidRDefault="00147445" w:rsidP="005F0BD5"/>
    <w:p w:rsidR="00C322BA" w:rsidRPr="00C65A6F" w:rsidRDefault="00C322BA" w:rsidP="005F0BD5"/>
    <w:p w:rsidR="00C65A6F" w:rsidRPr="00C65A6F" w:rsidRDefault="00C65A6F" w:rsidP="00C65A6F">
      <w:pPr>
        <w:pStyle w:val="Zkladntext2"/>
        <w:rPr>
          <w:rFonts w:asciiTheme="minorHAnsi" w:hAnsiTheme="minorHAnsi" w:cs="Arial"/>
          <w:sz w:val="22"/>
          <w:szCs w:val="22"/>
        </w:rPr>
      </w:pPr>
    </w:p>
    <w:tbl>
      <w:tblPr>
        <w:tblW w:w="0" w:type="auto"/>
        <w:jc w:val="center"/>
        <w:tblLook w:val="01E0" w:firstRow="1" w:lastRow="1" w:firstColumn="1" w:lastColumn="1" w:noHBand="0" w:noVBand="0"/>
      </w:tblPr>
      <w:tblGrid>
        <w:gridCol w:w="4568"/>
        <w:gridCol w:w="4000"/>
      </w:tblGrid>
      <w:tr w:rsidR="00C65A6F" w:rsidRPr="00C65A6F" w:rsidTr="00D34B67">
        <w:trPr>
          <w:jc w:val="center"/>
        </w:trPr>
        <w:tc>
          <w:tcPr>
            <w:tcW w:w="8568" w:type="dxa"/>
            <w:gridSpan w:val="2"/>
          </w:tcPr>
          <w:p w:rsidR="00C65A6F" w:rsidRPr="002877FE" w:rsidRDefault="00C65A6F" w:rsidP="00D34B67">
            <w:pPr>
              <w:spacing w:before="20" w:after="20"/>
              <w:jc w:val="both"/>
              <w:rPr>
                <w:rFonts w:cs="Arial"/>
                <w:b/>
                <w:bCs/>
                <w:u w:val="single"/>
              </w:rPr>
            </w:pPr>
            <w:r w:rsidRPr="002877FE">
              <w:rPr>
                <w:rFonts w:cs="Arial"/>
                <w:b/>
                <w:bCs/>
                <w:u w:val="single"/>
              </w:rPr>
              <w:lastRenderedPageBreak/>
              <w:t>Vypracoval:</w:t>
            </w:r>
          </w:p>
        </w:tc>
      </w:tr>
      <w:tr w:rsidR="00C65A6F" w:rsidRPr="00C65A6F" w:rsidTr="00D34B67">
        <w:trPr>
          <w:jc w:val="center"/>
        </w:trPr>
        <w:tc>
          <w:tcPr>
            <w:tcW w:w="4568" w:type="dxa"/>
          </w:tcPr>
          <w:p w:rsidR="00C65A6F" w:rsidRDefault="00C65A6F" w:rsidP="00C65A6F">
            <w:pPr>
              <w:spacing w:before="120" w:after="120"/>
              <w:jc w:val="both"/>
              <w:rPr>
                <w:rFonts w:cs="Arial"/>
              </w:rPr>
            </w:pPr>
            <w:r w:rsidRPr="00C65A6F">
              <w:rPr>
                <w:rFonts w:cs="Arial"/>
              </w:rPr>
              <w:t>Pozícia zodpovedného pracovníka:</w:t>
            </w:r>
          </w:p>
          <w:p w:rsidR="00C65A6F" w:rsidRPr="00C65A6F" w:rsidRDefault="00C65A6F" w:rsidP="00C65A6F">
            <w:pPr>
              <w:spacing w:before="120" w:after="120"/>
              <w:jc w:val="both"/>
              <w:rPr>
                <w:rFonts w:cs="Arial"/>
              </w:rPr>
            </w:pPr>
            <w:r w:rsidRPr="00C65A6F">
              <w:rPr>
                <w:rFonts w:cs="Arial"/>
              </w:rPr>
              <w:t>Dátum vyhotoven</w:t>
            </w:r>
            <w:r>
              <w:rPr>
                <w:rFonts w:cs="Arial"/>
              </w:rPr>
              <w:t>ia:</w:t>
            </w:r>
          </w:p>
        </w:tc>
        <w:tc>
          <w:tcPr>
            <w:tcW w:w="4000" w:type="dxa"/>
            <w:tcMar>
              <w:right w:w="851" w:type="dxa"/>
            </w:tcMar>
          </w:tcPr>
          <w:p w:rsidR="00C65A6F" w:rsidRPr="00C65A6F" w:rsidRDefault="00C65A6F" w:rsidP="00D34B67">
            <w:pPr>
              <w:spacing w:before="20" w:after="20"/>
              <w:ind w:right="-820"/>
              <w:rPr>
                <w:rFonts w:cs="Arial"/>
              </w:rPr>
            </w:pPr>
          </w:p>
        </w:tc>
      </w:tr>
      <w:tr w:rsidR="00C65A6F" w:rsidRPr="00C65A6F" w:rsidTr="00D34B67">
        <w:trPr>
          <w:jc w:val="center"/>
        </w:trPr>
        <w:tc>
          <w:tcPr>
            <w:tcW w:w="4568" w:type="dxa"/>
            <w:vAlign w:val="bottom"/>
          </w:tcPr>
          <w:p w:rsidR="00C65A6F" w:rsidRPr="00C65A6F" w:rsidRDefault="00C65A6F" w:rsidP="00D34B67">
            <w:pPr>
              <w:spacing w:before="240" w:after="240"/>
              <w:rPr>
                <w:rFonts w:cs="Arial"/>
              </w:rPr>
            </w:pPr>
            <w:r w:rsidRPr="00C65A6F">
              <w:rPr>
                <w:rFonts w:cs="Arial"/>
              </w:rPr>
              <w:t>Podpis:</w:t>
            </w:r>
          </w:p>
        </w:tc>
        <w:tc>
          <w:tcPr>
            <w:tcW w:w="4000" w:type="dxa"/>
            <w:tcMar>
              <w:right w:w="851" w:type="dxa"/>
            </w:tcMar>
          </w:tcPr>
          <w:p w:rsidR="00C65A6F" w:rsidRPr="00C65A6F" w:rsidRDefault="00C65A6F" w:rsidP="00D34B67">
            <w:pPr>
              <w:spacing w:before="20" w:after="20"/>
              <w:ind w:right="-820"/>
              <w:rPr>
                <w:rFonts w:cs="Arial"/>
              </w:rPr>
            </w:pPr>
          </w:p>
        </w:tc>
      </w:tr>
      <w:tr w:rsidR="00C65A6F" w:rsidRPr="00C65A6F" w:rsidTr="00D34B67">
        <w:trPr>
          <w:jc w:val="center"/>
        </w:trPr>
        <w:tc>
          <w:tcPr>
            <w:tcW w:w="4568" w:type="dxa"/>
          </w:tcPr>
          <w:p w:rsidR="00C65A6F" w:rsidRPr="002877FE" w:rsidRDefault="00C65A6F" w:rsidP="00C65A6F">
            <w:pPr>
              <w:spacing w:before="20" w:after="20"/>
              <w:jc w:val="both"/>
              <w:rPr>
                <w:rFonts w:cs="Arial"/>
                <w:u w:val="single"/>
              </w:rPr>
            </w:pPr>
            <w:r w:rsidRPr="002877FE">
              <w:rPr>
                <w:rFonts w:cs="Arial"/>
                <w:b/>
                <w:bCs/>
                <w:u w:val="single"/>
              </w:rPr>
              <w:t>Schválil:</w:t>
            </w:r>
          </w:p>
        </w:tc>
        <w:tc>
          <w:tcPr>
            <w:tcW w:w="4000" w:type="dxa"/>
            <w:tcMar>
              <w:right w:w="851" w:type="dxa"/>
            </w:tcMar>
          </w:tcPr>
          <w:p w:rsidR="00C65A6F" w:rsidRPr="00C65A6F" w:rsidRDefault="00C65A6F" w:rsidP="00D34B67">
            <w:pPr>
              <w:spacing w:before="20" w:after="20"/>
              <w:ind w:right="-820"/>
              <w:rPr>
                <w:rFonts w:cs="Arial"/>
              </w:rPr>
            </w:pPr>
          </w:p>
        </w:tc>
      </w:tr>
      <w:tr w:rsidR="00C65A6F" w:rsidRPr="00C65A6F" w:rsidTr="00D34B67">
        <w:trPr>
          <w:jc w:val="center"/>
        </w:trPr>
        <w:tc>
          <w:tcPr>
            <w:tcW w:w="4568" w:type="dxa"/>
          </w:tcPr>
          <w:p w:rsidR="00C65A6F" w:rsidRPr="00C65A6F" w:rsidRDefault="00C65A6F" w:rsidP="00D34B67">
            <w:pPr>
              <w:spacing w:before="60" w:after="60"/>
              <w:rPr>
                <w:rFonts w:cs="Arial"/>
              </w:rPr>
            </w:pPr>
            <w:r w:rsidRPr="00C65A6F">
              <w:rPr>
                <w:rFonts w:cs="Arial"/>
              </w:rPr>
              <w:t>Pozícia zodpovedného pracovníka:</w:t>
            </w:r>
          </w:p>
        </w:tc>
        <w:tc>
          <w:tcPr>
            <w:tcW w:w="4000" w:type="dxa"/>
            <w:tcMar>
              <w:right w:w="851" w:type="dxa"/>
            </w:tcMar>
          </w:tcPr>
          <w:p w:rsidR="00C65A6F" w:rsidRPr="00C65A6F" w:rsidRDefault="00C65A6F" w:rsidP="00D34B67">
            <w:pPr>
              <w:spacing w:before="60" w:after="60"/>
              <w:ind w:right="-820"/>
              <w:rPr>
                <w:rFonts w:cs="Arial"/>
              </w:rPr>
            </w:pPr>
          </w:p>
        </w:tc>
      </w:tr>
      <w:tr w:rsidR="00C65A6F" w:rsidRPr="00C65A6F" w:rsidTr="00D34B67">
        <w:trPr>
          <w:jc w:val="center"/>
        </w:trPr>
        <w:tc>
          <w:tcPr>
            <w:tcW w:w="4568" w:type="dxa"/>
          </w:tcPr>
          <w:p w:rsidR="00C65A6F" w:rsidRPr="00C65A6F" w:rsidRDefault="00C65A6F" w:rsidP="00C65A6F">
            <w:pPr>
              <w:spacing w:before="120" w:after="120"/>
              <w:jc w:val="both"/>
              <w:rPr>
                <w:rFonts w:cs="Arial"/>
              </w:rPr>
            </w:pPr>
            <w:r w:rsidRPr="00C65A6F">
              <w:rPr>
                <w:rFonts w:cs="Arial"/>
              </w:rPr>
              <w:t>Dátum schválenia:</w:t>
            </w:r>
          </w:p>
        </w:tc>
        <w:tc>
          <w:tcPr>
            <w:tcW w:w="4000" w:type="dxa"/>
            <w:tcMar>
              <w:right w:w="851" w:type="dxa"/>
            </w:tcMar>
          </w:tcPr>
          <w:p w:rsidR="00C65A6F" w:rsidRPr="00C65A6F" w:rsidRDefault="00C65A6F" w:rsidP="00D34B67">
            <w:pPr>
              <w:spacing w:before="120" w:after="120"/>
              <w:ind w:right="-820"/>
              <w:rPr>
                <w:rFonts w:cs="Arial"/>
              </w:rPr>
            </w:pPr>
          </w:p>
        </w:tc>
      </w:tr>
      <w:tr w:rsidR="00C65A6F" w:rsidRPr="00C65A6F" w:rsidTr="00D34B67">
        <w:trPr>
          <w:jc w:val="center"/>
        </w:trPr>
        <w:tc>
          <w:tcPr>
            <w:tcW w:w="4568" w:type="dxa"/>
          </w:tcPr>
          <w:p w:rsidR="00C65A6F" w:rsidRPr="00C65A6F" w:rsidRDefault="00C65A6F" w:rsidP="00D34B67">
            <w:pPr>
              <w:spacing w:before="240" w:after="240"/>
              <w:jc w:val="both"/>
              <w:rPr>
                <w:rFonts w:cs="Arial"/>
              </w:rPr>
            </w:pPr>
            <w:r w:rsidRPr="00C65A6F">
              <w:rPr>
                <w:rFonts w:cs="Arial"/>
              </w:rPr>
              <w:t>Podpis:</w:t>
            </w:r>
          </w:p>
        </w:tc>
        <w:tc>
          <w:tcPr>
            <w:tcW w:w="4000" w:type="dxa"/>
            <w:tcMar>
              <w:right w:w="851" w:type="dxa"/>
            </w:tcMar>
          </w:tcPr>
          <w:p w:rsidR="00C65A6F" w:rsidRPr="00C65A6F" w:rsidRDefault="00C65A6F" w:rsidP="00D34B67">
            <w:pPr>
              <w:spacing w:before="240" w:after="240"/>
              <w:ind w:right="-820"/>
              <w:rPr>
                <w:rFonts w:cs="Arial"/>
              </w:rPr>
            </w:pPr>
          </w:p>
        </w:tc>
      </w:tr>
    </w:tbl>
    <w:p w:rsidR="008A54FD" w:rsidRDefault="008A54FD" w:rsidP="005F0BD5"/>
    <w:sectPr w:rsidR="008A54FD" w:rsidSect="0065201F">
      <w:headerReference w:type="default" r:id="rId16"/>
      <w:footerReference w:type="default" r:id="rId1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8B8" w:rsidRDefault="00C778B8" w:rsidP="009A7112">
      <w:r>
        <w:separator/>
      </w:r>
    </w:p>
  </w:endnote>
  <w:endnote w:type="continuationSeparator" w:id="0">
    <w:p w:rsidR="00C778B8" w:rsidRDefault="00C778B8" w:rsidP="009A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310748"/>
      <w:docPartObj>
        <w:docPartGallery w:val="Page Numbers (Bottom of Page)"/>
        <w:docPartUnique/>
      </w:docPartObj>
    </w:sdtPr>
    <w:sdtEndPr/>
    <w:sdtContent>
      <w:p w:rsidR="00C778B8" w:rsidRDefault="00C778B8">
        <w:pPr>
          <w:pStyle w:val="Pta"/>
          <w:jc w:val="right"/>
        </w:pPr>
        <w:r>
          <w:fldChar w:fldCharType="begin"/>
        </w:r>
        <w:r>
          <w:instrText>PAGE   \* MERGEFORMAT</w:instrText>
        </w:r>
        <w:r>
          <w:fldChar w:fldCharType="separate"/>
        </w:r>
        <w:r w:rsidR="00770E94">
          <w:rPr>
            <w:noProof/>
          </w:rPr>
          <w:t>8</w:t>
        </w:r>
        <w:r>
          <w:fldChar w:fldCharType="end"/>
        </w:r>
      </w:p>
    </w:sdtContent>
  </w:sdt>
  <w:p w:rsidR="00C778B8" w:rsidRDefault="00C778B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8B8" w:rsidRDefault="00C778B8" w:rsidP="009A7112">
      <w:r>
        <w:separator/>
      </w:r>
    </w:p>
  </w:footnote>
  <w:footnote w:type="continuationSeparator" w:id="0">
    <w:p w:rsidR="00C778B8" w:rsidRDefault="00C778B8" w:rsidP="009A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B8" w:rsidRDefault="00C778B8">
    <w:pPr>
      <w:pStyle w:val="Hlavika"/>
    </w:pPr>
    <w:r>
      <w:t>Kód ITMS: 26220220182</w:t>
    </w:r>
  </w:p>
  <w:p w:rsidR="00C778B8" w:rsidRDefault="00C778B8">
    <w:pPr>
      <w:pStyle w:val="Hlavika"/>
    </w:pPr>
  </w:p>
  <w:p w:rsidR="00C778B8" w:rsidRDefault="00C778B8">
    <w:pPr>
      <w:pStyle w:val="Hlavika"/>
    </w:pPr>
  </w:p>
  <w:p w:rsidR="00C778B8" w:rsidRDefault="00C778B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0381B"/>
    <w:multiLevelType w:val="hybridMultilevel"/>
    <w:tmpl w:val="4F4C6C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A2620CA"/>
    <w:multiLevelType w:val="hybridMultilevel"/>
    <w:tmpl w:val="3E406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62FF240C"/>
    <w:multiLevelType w:val="hybridMultilevel"/>
    <w:tmpl w:val="D2C45C8C"/>
    <w:lvl w:ilvl="0" w:tplc="86224EF8">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7AE16771"/>
    <w:multiLevelType w:val="hybridMultilevel"/>
    <w:tmpl w:val="B93A872C"/>
    <w:lvl w:ilvl="0" w:tplc="0B06269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12"/>
    <w:rsid w:val="0004609B"/>
    <w:rsid w:val="0007178F"/>
    <w:rsid w:val="000A79B4"/>
    <w:rsid w:val="000E7542"/>
    <w:rsid w:val="00107EA2"/>
    <w:rsid w:val="001272BD"/>
    <w:rsid w:val="00147445"/>
    <w:rsid w:val="00165F4B"/>
    <w:rsid w:val="00176EF5"/>
    <w:rsid w:val="0018056B"/>
    <w:rsid w:val="001846EB"/>
    <w:rsid w:val="001A3961"/>
    <w:rsid w:val="001C42BD"/>
    <w:rsid w:val="00204800"/>
    <w:rsid w:val="00206D7D"/>
    <w:rsid w:val="0023192C"/>
    <w:rsid w:val="00243618"/>
    <w:rsid w:val="002877FE"/>
    <w:rsid w:val="002A7B27"/>
    <w:rsid w:val="002F7E3A"/>
    <w:rsid w:val="003142EF"/>
    <w:rsid w:val="003272E8"/>
    <w:rsid w:val="00331EFA"/>
    <w:rsid w:val="00356AA2"/>
    <w:rsid w:val="00365918"/>
    <w:rsid w:val="00370C82"/>
    <w:rsid w:val="0039448D"/>
    <w:rsid w:val="003A4C4D"/>
    <w:rsid w:val="003A4EC8"/>
    <w:rsid w:val="003B4489"/>
    <w:rsid w:val="003D7C31"/>
    <w:rsid w:val="00430090"/>
    <w:rsid w:val="00442CAC"/>
    <w:rsid w:val="004822D7"/>
    <w:rsid w:val="004B4C86"/>
    <w:rsid w:val="004E34D2"/>
    <w:rsid w:val="004E4BD7"/>
    <w:rsid w:val="005028DD"/>
    <w:rsid w:val="00522263"/>
    <w:rsid w:val="00561E56"/>
    <w:rsid w:val="00580C05"/>
    <w:rsid w:val="005B17D5"/>
    <w:rsid w:val="005F0BD5"/>
    <w:rsid w:val="00647E2E"/>
    <w:rsid w:val="0065201F"/>
    <w:rsid w:val="00680FE9"/>
    <w:rsid w:val="006A5F98"/>
    <w:rsid w:val="006D6EB3"/>
    <w:rsid w:val="006E4A8E"/>
    <w:rsid w:val="006F3227"/>
    <w:rsid w:val="00717D64"/>
    <w:rsid w:val="00727F92"/>
    <w:rsid w:val="00735CA1"/>
    <w:rsid w:val="00737453"/>
    <w:rsid w:val="00743E23"/>
    <w:rsid w:val="00755030"/>
    <w:rsid w:val="00755127"/>
    <w:rsid w:val="00762F3E"/>
    <w:rsid w:val="00763AA8"/>
    <w:rsid w:val="00770E94"/>
    <w:rsid w:val="007760B0"/>
    <w:rsid w:val="007873BB"/>
    <w:rsid w:val="00797159"/>
    <w:rsid w:val="007C1A60"/>
    <w:rsid w:val="007C6562"/>
    <w:rsid w:val="007C75FF"/>
    <w:rsid w:val="007D3DDF"/>
    <w:rsid w:val="0080026A"/>
    <w:rsid w:val="00833575"/>
    <w:rsid w:val="008A54FD"/>
    <w:rsid w:val="008D01A9"/>
    <w:rsid w:val="008E5B06"/>
    <w:rsid w:val="00915F13"/>
    <w:rsid w:val="0091777C"/>
    <w:rsid w:val="009262DA"/>
    <w:rsid w:val="0096225F"/>
    <w:rsid w:val="00977814"/>
    <w:rsid w:val="009A7112"/>
    <w:rsid w:val="009C4AE0"/>
    <w:rsid w:val="00A36259"/>
    <w:rsid w:val="00A363AC"/>
    <w:rsid w:val="00A54851"/>
    <w:rsid w:val="00A6336F"/>
    <w:rsid w:val="00AC67D9"/>
    <w:rsid w:val="00B00827"/>
    <w:rsid w:val="00B144F0"/>
    <w:rsid w:val="00B53979"/>
    <w:rsid w:val="00BD6D1D"/>
    <w:rsid w:val="00C142B4"/>
    <w:rsid w:val="00C322BA"/>
    <w:rsid w:val="00C476B9"/>
    <w:rsid w:val="00C65A6F"/>
    <w:rsid w:val="00C706AA"/>
    <w:rsid w:val="00C7538A"/>
    <w:rsid w:val="00C778B8"/>
    <w:rsid w:val="00CA687A"/>
    <w:rsid w:val="00D069D0"/>
    <w:rsid w:val="00D2047B"/>
    <w:rsid w:val="00D34B67"/>
    <w:rsid w:val="00D62A6B"/>
    <w:rsid w:val="00D70695"/>
    <w:rsid w:val="00D84404"/>
    <w:rsid w:val="00D939DF"/>
    <w:rsid w:val="00DB1E9B"/>
    <w:rsid w:val="00DC56ED"/>
    <w:rsid w:val="00DD3B3F"/>
    <w:rsid w:val="00DE13BB"/>
    <w:rsid w:val="00DF7C69"/>
    <w:rsid w:val="00E12A9A"/>
    <w:rsid w:val="00E22E36"/>
    <w:rsid w:val="00E2577A"/>
    <w:rsid w:val="00E3137C"/>
    <w:rsid w:val="00E3587A"/>
    <w:rsid w:val="00E46773"/>
    <w:rsid w:val="00E54AEF"/>
    <w:rsid w:val="00E943B5"/>
    <w:rsid w:val="00EA150F"/>
    <w:rsid w:val="00EB1451"/>
    <w:rsid w:val="00EB4341"/>
    <w:rsid w:val="00EF13F2"/>
    <w:rsid w:val="00F10985"/>
    <w:rsid w:val="00F42BEC"/>
    <w:rsid w:val="00F554C8"/>
    <w:rsid w:val="00F62CE5"/>
    <w:rsid w:val="00F905D7"/>
    <w:rsid w:val="00FA4E26"/>
    <w:rsid w:val="00FB7983"/>
    <w:rsid w:val="00FE4CC9"/>
    <w:rsid w:val="00FF13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0BD5"/>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206D7D"/>
    <w:rPr>
      <w:b/>
      <w:bCs/>
      <w:i w:val="0"/>
      <w:iCs w:val="0"/>
    </w:rPr>
  </w:style>
  <w:style w:type="paragraph" w:styleId="Bezriadkovania">
    <w:name w:val="No Spacing"/>
    <w:uiPriority w:val="1"/>
    <w:qFormat/>
    <w:rsid w:val="00206D7D"/>
    <w:pPr>
      <w:spacing w:after="0" w:line="240" w:lineRule="auto"/>
    </w:pPr>
  </w:style>
  <w:style w:type="paragraph" w:styleId="Hlavika">
    <w:name w:val="header"/>
    <w:basedOn w:val="Normlny"/>
    <w:link w:val="HlavikaChar"/>
    <w:uiPriority w:val="99"/>
    <w:unhideWhenUsed/>
    <w:rsid w:val="009A7112"/>
    <w:pPr>
      <w:tabs>
        <w:tab w:val="center" w:pos="4536"/>
        <w:tab w:val="right" w:pos="9072"/>
      </w:tabs>
    </w:pPr>
  </w:style>
  <w:style w:type="character" w:customStyle="1" w:styleId="HlavikaChar">
    <w:name w:val="Hlavička Char"/>
    <w:basedOn w:val="Predvolenpsmoodseku"/>
    <w:link w:val="Hlavika"/>
    <w:uiPriority w:val="99"/>
    <w:rsid w:val="009A7112"/>
    <w:rPr>
      <w:rFonts w:ascii="Times New Roman" w:hAnsi="Times New Roman"/>
      <w:sz w:val="20"/>
      <w:szCs w:val="20"/>
      <w:lang w:eastAsia="sk-SK"/>
    </w:rPr>
  </w:style>
  <w:style w:type="paragraph" w:styleId="Pta">
    <w:name w:val="footer"/>
    <w:basedOn w:val="Normlny"/>
    <w:link w:val="PtaChar"/>
    <w:uiPriority w:val="99"/>
    <w:unhideWhenUsed/>
    <w:rsid w:val="009A7112"/>
    <w:pPr>
      <w:tabs>
        <w:tab w:val="center" w:pos="4536"/>
        <w:tab w:val="right" w:pos="9072"/>
      </w:tabs>
    </w:pPr>
  </w:style>
  <w:style w:type="character" w:customStyle="1" w:styleId="PtaChar">
    <w:name w:val="Päta Char"/>
    <w:basedOn w:val="Predvolenpsmoodseku"/>
    <w:link w:val="Pta"/>
    <w:uiPriority w:val="99"/>
    <w:rsid w:val="009A7112"/>
    <w:rPr>
      <w:rFonts w:ascii="Times New Roman" w:hAnsi="Times New Roman"/>
      <w:sz w:val="20"/>
      <w:szCs w:val="20"/>
      <w:lang w:eastAsia="sk-SK"/>
    </w:rPr>
  </w:style>
  <w:style w:type="paragraph" w:styleId="Textbubliny">
    <w:name w:val="Balloon Text"/>
    <w:basedOn w:val="Normlny"/>
    <w:link w:val="TextbublinyChar"/>
    <w:uiPriority w:val="99"/>
    <w:semiHidden/>
    <w:unhideWhenUsed/>
    <w:rsid w:val="009A7112"/>
    <w:rPr>
      <w:rFonts w:ascii="Tahoma" w:hAnsi="Tahoma" w:cs="Tahoma"/>
      <w:sz w:val="16"/>
      <w:szCs w:val="16"/>
    </w:rPr>
  </w:style>
  <w:style w:type="character" w:customStyle="1" w:styleId="TextbublinyChar">
    <w:name w:val="Text bubliny Char"/>
    <w:basedOn w:val="Predvolenpsmoodseku"/>
    <w:link w:val="Textbubliny"/>
    <w:uiPriority w:val="99"/>
    <w:semiHidden/>
    <w:rsid w:val="009A7112"/>
    <w:rPr>
      <w:rFonts w:ascii="Tahoma" w:hAnsi="Tahoma" w:cs="Tahoma"/>
      <w:sz w:val="16"/>
      <w:szCs w:val="16"/>
      <w:lang w:eastAsia="sk-SK"/>
    </w:rPr>
  </w:style>
  <w:style w:type="table" w:styleId="Mriekatabuky">
    <w:name w:val="Table Grid"/>
    <w:basedOn w:val="Normlnatabuka"/>
    <w:uiPriority w:val="59"/>
    <w:rsid w:val="005F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
    <w:basedOn w:val="Normlny"/>
    <w:link w:val="TextpoznmkypodiarouChar"/>
    <w:semiHidden/>
    <w:rsid w:val="00C65A6F"/>
    <w:rPr>
      <w:rFonts w:ascii="Times New Roman" w:eastAsia="Times New Roman" w:hAnsi="Times New Roman" w:cs="Times New Roman"/>
      <w:sz w:val="20"/>
      <w:szCs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C65A6F"/>
    <w:rPr>
      <w:rFonts w:ascii="Times New Roman" w:eastAsia="Times New Roman" w:hAnsi="Times New Roman" w:cs="Times New Roman"/>
      <w:sz w:val="20"/>
      <w:szCs w:val="20"/>
    </w:rPr>
  </w:style>
  <w:style w:type="character" w:styleId="Odkaznapoznmkupodiarou">
    <w:name w:val="footnote reference"/>
    <w:basedOn w:val="Predvolenpsmoodseku"/>
    <w:semiHidden/>
    <w:rsid w:val="00C65A6F"/>
    <w:rPr>
      <w:rFonts w:cs="Times New Roman"/>
      <w:vertAlign w:val="superscript"/>
    </w:rPr>
  </w:style>
  <w:style w:type="paragraph" w:styleId="Zkladntext2">
    <w:name w:val="Body Text 2"/>
    <w:basedOn w:val="Normlny"/>
    <w:link w:val="Zkladntext2Char"/>
    <w:uiPriority w:val="99"/>
    <w:rsid w:val="00C65A6F"/>
    <w:pPr>
      <w:jc w:val="both"/>
    </w:pPr>
    <w:rPr>
      <w:rFonts w:ascii="Times New Roman" w:eastAsia="Times New Roman" w:hAnsi="Times New Roman" w:cs="Times New Roman"/>
      <w:b/>
      <w:bCs/>
      <w:sz w:val="24"/>
      <w:szCs w:val="24"/>
    </w:rPr>
  </w:style>
  <w:style w:type="character" w:customStyle="1" w:styleId="Zkladntext2Char">
    <w:name w:val="Základný text 2 Char"/>
    <w:basedOn w:val="Predvolenpsmoodseku"/>
    <w:link w:val="Zkladntext2"/>
    <w:uiPriority w:val="99"/>
    <w:rsid w:val="00C65A6F"/>
    <w:rPr>
      <w:rFonts w:ascii="Times New Roman" w:eastAsia="Times New Roman" w:hAnsi="Times New Roman" w:cs="Times New Roman"/>
      <w:b/>
      <w:bCs/>
      <w:sz w:val="24"/>
      <w:szCs w:val="24"/>
    </w:rPr>
  </w:style>
  <w:style w:type="paragraph" w:styleId="Odsekzoznamu">
    <w:name w:val="List Paragraph"/>
    <w:basedOn w:val="Normlny"/>
    <w:uiPriority w:val="34"/>
    <w:qFormat/>
    <w:rsid w:val="0065201F"/>
    <w:pPr>
      <w:ind w:left="720"/>
      <w:contextualSpacing/>
    </w:pPr>
  </w:style>
  <w:style w:type="character" w:styleId="Hypertextovprepojenie">
    <w:name w:val="Hyperlink"/>
    <w:basedOn w:val="Predvolenpsmoodseku"/>
    <w:uiPriority w:val="99"/>
    <w:unhideWhenUsed/>
    <w:rsid w:val="00EB4341"/>
    <w:rPr>
      <w:color w:val="0080FF" w:themeColor="hyperlink"/>
      <w:u w:val="single"/>
    </w:rPr>
  </w:style>
  <w:style w:type="character" w:styleId="PouitHypertextovPrepojenie">
    <w:name w:val="FollowedHyperlink"/>
    <w:basedOn w:val="Predvolenpsmoodseku"/>
    <w:uiPriority w:val="99"/>
    <w:semiHidden/>
    <w:unhideWhenUsed/>
    <w:rsid w:val="00EB4341"/>
    <w:rPr>
      <w:color w:val="5EAE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0BD5"/>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206D7D"/>
    <w:rPr>
      <w:b/>
      <w:bCs/>
      <w:i w:val="0"/>
      <w:iCs w:val="0"/>
    </w:rPr>
  </w:style>
  <w:style w:type="paragraph" w:styleId="Bezriadkovania">
    <w:name w:val="No Spacing"/>
    <w:uiPriority w:val="1"/>
    <w:qFormat/>
    <w:rsid w:val="00206D7D"/>
    <w:pPr>
      <w:spacing w:after="0" w:line="240" w:lineRule="auto"/>
    </w:pPr>
  </w:style>
  <w:style w:type="paragraph" w:styleId="Hlavika">
    <w:name w:val="header"/>
    <w:basedOn w:val="Normlny"/>
    <w:link w:val="HlavikaChar"/>
    <w:uiPriority w:val="99"/>
    <w:unhideWhenUsed/>
    <w:rsid w:val="009A7112"/>
    <w:pPr>
      <w:tabs>
        <w:tab w:val="center" w:pos="4536"/>
        <w:tab w:val="right" w:pos="9072"/>
      </w:tabs>
    </w:pPr>
  </w:style>
  <w:style w:type="character" w:customStyle="1" w:styleId="HlavikaChar">
    <w:name w:val="Hlavička Char"/>
    <w:basedOn w:val="Predvolenpsmoodseku"/>
    <w:link w:val="Hlavika"/>
    <w:uiPriority w:val="99"/>
    <w:rsid w:val="009A7112"/>
    <w:rPr>
      <w:rFonts w:ascii="Times New Roman" w:hAnsi="Times New Roman"/>
      <w:sz w:val="20"/>
      <w:szCs w:val="20"/>
      <w:lang w:eastAsia="sk-SK"/>
    </w:rPr>
  </w:style>
  <w:style w:type="paragraph" w:styleId="Pta">
    <w:name w:val="footer"/>
    <w:basedOn w:val="Normlny"/>
    <w:link w:val="PtaChar"/>
    <w:uiPriority w:val="99"/>
    <w:unhideWhenUsed/>
    <w:rsid w:val="009A7112"/>
    <w:pPr>
      <w:tabs>
        <w:tab w:val="center" w:pos="4536"/>
        <w:tab w:val="right" w:pos="9072"/>
      </w:tabs>
    </w:pPr>
  </w:style>
  <w:style w:type="character" w:customStyle="1" w:styleId="PtaChar">
    <w:name w:val="Päta Char"/>
    <w:basedOn w:val="Predvolenpsmoodseku"/>
    <w:link w:val="Pta"/>
    <w:uiPriority w:val="99"/>
    <w:rsid w:val="009A7112"/>
    <w:rPr>
      <w:rFonts w:ascii="Times New Roman" w:hAnsi="Times New Roman"/>
      <w:sz w:val="20"/>
      <w:szCs w:val="20"/>
      <w:lang w:eastAsia="sk-SK"/>
    </w:rPr>
  </w:style>
  <w:style w:type="paragraph" w:styleId="Textbubliny">
    <w:name w:val="Balloon Text"/>
    <w:basedOn w:val="Normlny"/>
    <w:link w:val="TextbublinyChar"/>
    <w:uiPriority w:val="99"/>
    <w:semiHidden/>
    <w:unhideWhenUsed/>
    <w:rsid w:val="009A7112"/>
    <w:rPr>
      <w:rFonts w:ascii="Tahoma" w:hAnsi="Tahoma" w:cs="Tahoma"/>
      <w:sz w:val="16"/>
      <w:szCs w:val="16"/>
    </w:rPr>
  </w:style>
  <w:style w:type="character" w:customStyle="1" w:styleId="TextbublinyChar">
    <w:name w:val="Text bubliny Char"/>
    <w:basedOn w:val="Predvolenpsmoodseku"/>
    <w:link w:val="Textbubliny"/>
    <w:uiPriority w:val="99"/>
    <w:semiHidden/>
    <w:rsid w:val="009A7112"/>
    <w:rPr>
      <w:rFonts w:ascii="Tahoma" w:hAnsi="Tahoma" w:cs="Tahoma"/>
      <w:sz w:val="16"/>
      <w:szCs w:val="16"/>
      <w:lang w:eastAsia="sk-SK"/>
    </w:rPr>
  </w:style>
  <w:style w:type="table" w:styleId="Mriekatabuky">
    <w:name w:val="Table Grid"/>
    <w:basedOn w:val="Normlnatabuka"/>
    <w:uiPriority w:val="59"/>
    <w:rsid w:val="005F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
    <w:basedOn w:val="Normlny"/>
    <w:link w:val="TextpoznmkypodiarouChar"/>
    <w:semiHidden/>
    <w:rsid w:val="00C65A6F"/>
    <w:rPr>
      <w:rFonts w:ascii="Times New Roman" w:eastAsia="Times New Roman" w:hAnsi="Times New Roman" w:cs="Times New Roman"/>
      <w:sz w:val="20"/>
      <w:szCs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C65A6F"/>
    <w:rPr>
      <w:rFonts w:ascii="Times New Roman" w:eastAsia="Times New Roman" w:hAnsi="Times New Roman" w:cs="Times New Roman"/>
      <w:sz w:val="20"/>
      <w:szCs w:val="20"/>
    </w:rPr>
  </w:style>
  <w:style w:type="character" w:styleId="Odkaznapoznmkupodiarou">
    <w:name w:val="footnote reference"/>
    <w:basedOn w:val="Predvolenpsmoodseku"/>
    <w:semiHidden/>
    <w:rsid w:val="00C65A6F"/>
    <w:rPr>
      <w:rFonts w:cs="Times New Roman"/>
      <w:vertAlign w:val="superscript"/>
    </w:rPr>
  </w:style>
  <w:style w:type="paragraph" w:styleId="Zkladntext2">
    <w:name w:val="Body Text 2"/>
    <w:basedOn w:val="Normlny"/>
    <w:link w:val="Zkladntext2Char"/>
    <w:uiPriority w:val="99"/>
    <w:rsid w:val="00C65A6F"/>
    <w:pPr>
      <w:jc w:val="both"/>
    </w:pPr>
    <w:rPr>
      <w:rFonts w:ascii="Times New Roman" w:eastAsia="Times New Roman" w:hAnsi="Times New Roman" w:cs="Times New Roman"/>
      <w:b/>
      <w:bCs/>
      <w:sz w:val="24"/>
      <w:szCs w:val="24"/>
    </w:rPr>
  </w:style>
  <w:style w:type="character" w:customStyle="1" w:styleId="Zkladntext2Char">
    <w:name w:val="Základný text 2 Char"/>
    <w:basedOn w:val="Predvolenpsmoodseku"/>
    <w:link w:val="Zkladntext2"/>
    <w:uiPriority w:val="99"/>
    <w:rsid w:val="00C65A6F"/>
    <w:rPr>
      <w:rFonts w:ascii="Times New Roman" w:eastAsia="Times New Roman" w:hAnsi="Times New Roman" w:cs="Times New Roman"/>
      <w:b/>
      <w:bCs/>
      <w:sz w:val="24"/>
      <w:szCs w:val="24"/>
    </w:rPr>
  </w:style>
  <w:style w:type="paragraph" w:styleId="Odsekzoznamu">
    <w:name w:val="List Paragraph"/>
    <w:basedOn w:val="Normlny"/>
    <w:uiPriority w:val="34"/>
    <w:qFormat/>
    <w:rsid w:val="0065201F"/>
    <w:pPr>
      <w:ind w:left="720"/>
      <w:contextualSpacing/>
    </w:pPr>
  </w:style>
  <w:style w:type="character" w:styleId="Hypertextovprepojenie">
    <w:name w:val="Hyperlink"/>
    <w:basedOn w:val="Predvolenpsmoodseku"/>
    <w:uiPriority w:val="99"/>
    <w:unhideWhenUsed/>
    <w:rsid w:val="00EB4341"/>
    <w:rPr>
      <w:color w:val="0080FF" w:themeColor="hyperlink"/>
      <w:u w:val="single"/>
    </w:rPr>
  </w:style>
  <w:style w:type="character" w:styleId="PouitHypertextovPrepojenie">
    <w:name w:val="FollowedHyperlink"/>
    <w:basedOn w:val="Predvolenpsmoodseku"/>
    <w:uiPriority w:val="99"/>
    <w:semiHidden/>
    <w:unhideWhenUsed/>
    <w:rsid w:val="00EB4341"/>
    <w:rPr>
      <w:color w:val="5EAE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814303">
      <w:bodyDiv w:val="1"/>
      <w:marLeft w:val="0"/>
      <w:marRight w:val="0"/>
      <w:marTop w:val="0"/>
      <w:marBottom w:val="0"/>
      <w:divBdr>
        <w:top w:val="none" w:sz="0" w:space="0" w:color="auto"/>
        <w:left w:val="none" w:sz="0" w:space="0" w:color="auto"/>
        <w:bottom w:val="none" w:sz="0" w:space="0" w:color="auto"/>
        <w:right w:val="none" w:sz="0" w:space="0" w:color="auto"/>
      </w:divBdr>
    </w:div>
    <w:div w:id="1569346446">
      <w:bodyDiv w:val="1"/>
      <w:marLeft w:val="0"/>
      <w:marRight w:val="0"/>
      <w:marTop w:val="0"/>
      <w:marBottom w:val="0"/>
      <w:divBdr>
        <w:top w:val="none" w:sz="0" w:space="0" w:color="auto"/>
        <w:left w:val="none" w:sz="0" w:space="0" w:color="auto"/>
        <w:bottom w:val="none" w:sz="0" w:space="0" w:color="auto"/>
        <w:right w:val="none" w:sz="0" w:space="0" w:color="auto"/>
      </w:divBdr>
    </w:div>
    <w:div w:id="17597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regional_policy/thefunds/regional/index_sk.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edu.sk/op-vyskum-a&#160;vyvoj-erdf/" TargetMode="External"/><Relationship Id="rId5" Type="http://schemas.openxmlformats.org/officeDocument/2006/relationships/settings" Target="settings.xml"/><Relationship Id="rId15" Type="http://schemas.openxmlformats.org/officeDocument/2006/relationships/hyperlink" Target="http://pcl.ics.upjs.sk/symposium2015/"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minedu.sk/" TargetMode="External"/><Relationship Id="rId14" Type="http://schemas.openxmlformats.org/officeDocument/2006/relationships/image" Target="media/image3.jpeg"/></Relationships>
</file>

<file path=word/theme/theme1.xml><?xml version="1.0" encoding="utf-8"?>
<a:theme xmlns:a="http://schemas.openxmlformats.org/drawingml/2006/main" name="Motív Office">
  <a:themeElements>
    <a:clrScheme name="Tvar vlnenia">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4069F-364A-4A6F-9FF2-4CF5A81B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3349</Words>
  <Characters>19091</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Hegedüš Roman</dc:creator>
  <cp:lastModifiedBy>dekanat</cp:lastModifiedBy>
  <cp:revision>29</cp:revision>
  <cp:lastPrinted>2015-03-10T08:47:00Z</cp:lastPrinted>
  <dcterms:created xsi:type="dcterms:W3CDTF">2015-04-27T06:47:00Z</dcterms:created>
  <dcterms:modified xsi:type="dcterms:W3CDTF">2015-05-06T11:14:00Z</dcterms:modified>
</cp:coreProperties>
</file>