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5" w:rsidRDefault="005F0BD5" w:rsidP="005F0BD5">
      <w:pPr>
        <w:spacing w:before="40" w:after="20"/>
        <w:jc w:val="center"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lang w:eastAsia="sk-SK"/>
        </w:rPr>
        <w:drawing>
          <wp:inline distT="0" distB="0" distL="0" distR="0" wp14:anchorId="15FC9D46" wp14:editId="172A405A">
            <wp:extent cx="942975" cy="800100"/>
            <wp:effectExtent l="0" t="0" r="9525" b="0"/>
            <wp:docPr id="3" name="Obrázok 3" descr="cid:image001.png@01CFAA70.DC100450">
              <a:hlinkClick xmlns:a="http://schemas.openxmlformats.org/drawingml/2006/main" r:id="rId9" tooltip="MŠVVaŠ S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CFAA70.DC100450">
                      <a:hlinkClick r:id="rId9" tooltip="MŠVVaŠ S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B553A1C" wp14:editId="3FA33A69">
            <wp:extent cx="809625" cy="809625"/>
            <wp:effectExtent l="0" t="0" r="9525" b="9525"/>
            <wp:docPr id="2" name="Obrázok 2">
              <a:hlinkClick xmlns:a="http://schemas.openxmlformats.org/drawingml/2006/main" r:id="rId11" tooltip="OP Výskum a vývo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1" tooltip="OP Výskum a vývo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9DADF31" wp14:editId="0CB14AF9">
            <wp:extent cx="876300" cy="809625"/>
            <wp:effectExtent l="0" t="0" r="0" b="9525"/>
            <wp:docPr id="1" name="Obrázok 1">
              <a:hlinkClick xmlns:a="http://schemas.openxmlformats.org/drawingml/2006/main" r:id="rId13" tooltip="Európsky fond regionálneho rozvoj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>
                      <a:hlinkClick r:id="rId13" tooltip="Európsky fond regionálneho rozvoj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D5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A363AC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  <w: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  <w:t>Podporujeme výskumné aktivity na Slovensku/Projekt je spolufinancovaný zo zdrojov EÚ</w:t>
      </w:r>
    </w:p>
    <w:p w:rsidR="005F0BD5" w:rsidRDefault="005F0BD5" w:rsidP="005F0BD5">
      <w:pP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176EF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SPRÁVA O IMPLEM</w:t>
      </w:r>
      <w:r w:rsidR="0024361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E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 xml:space="preserve">NTÁCII PROJEKTU </w:t>
      </w:r>
    </w:p>
    <w:p w:rsidR="005F0BD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k</w:t>
      </w:r>
      <w:r w:rsidR="00DF7C6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 31.3.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2015</w:t>
      </w: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E4A8E">
      <w:pPr>
        <w:rPr>
          <w:rFonts w:eastAsiaTheme="minorEastAsia"/>
          <w:bCs/>
          <w:iCs/>
          <w:noProof/>
          <w:lang w:eastAsia="sk-SK"/>
        </w:rPr>
      </w:pPr>
    </w:p>
    <w:p w:rsidR="00D70695" w:rsidRDefault="00D7069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C706AA" w:rsidRDefault="00C706AA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Pr="00176EF5" w:rsidRDefault="00176EF5" w:rsidP="002877FE">
      <w:pPr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5F0BD5" w:rsidRDefault="002877FE" w:rsidP="005F0BD5">
      <w:pPr>
        <w:rPr>
          <w:rFonts w:eastAsiaTheme="minorEastAsia"/>
          <w:bCs/>
          <w:iCs/>
          <w:noProof/>
          <w:lang w:eastAsia="sk-SK"/>
        </w:rPr>
      </w:pPr>
      <w:r w:rsidRPr="002877FE">
        <w:rPr>
          <w:rFonts w:eastAsiaTheme="minorEastAsia"/>
          <w:bCs/>
          <w:iCs/>
          <w:noProof/>
          <w:lang w:eastAsia="sk-SK"/>
        </w:rPr>
        <w:t>1.</w:t>
      </w:r>
      <w:r w:rsidR="00D70695">
        <w:rPr>
          <w:rFonts w:eastAsiaTheme="minorEastAsia"/>
          <w:bCs/>
          <w:iCs/>
          <w:noProof/>
          <w:lang w:eastAsia="sk-SK"/>
        </w:rPr>
        <w:t xml:space="preserve"> Základné údaje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Názov projektu </w:t>
            </w:r>
          </w:p>
        </w:tc>
        <w:tc>
          <w:tcPr>
            <w:tcW w:w="7229" w:type="dxa"/>
          </w:tcPr>
          <w:p w:rsidR="005F0BD5" w:rsidRDefault="006D6EB3" w:rsidP="005F0BD5">
            <w:r w:rsidRPr="006D6EB3">
              <w:t>Univerzitný vedecký park TECHNICOM pre inovačné aplikácie s podporou znalostných technológií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ITMS projektu </w:t>
            </w:r>
          </w:p>
        </w:tc>
        <w:tc>
          <w:tcPr>
            <w:tcW w:w="7229" w:type="dxa"/>
          </w:tcPr>
          <w:p w:rsidR="005F0BD5" w:rsidRDefault="00442CAC" w:rsidP="005F0BD5">
            <w:r>
              <w:t>26220220182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výzvy </w:t>
            </w:r>
          </w:p>
        </w:tc>
        <w:tc>
          <w:tcPr>
            <w:tcW w:w="7229" w:type="dxa"/>
          </w:tcPr>
          <w:p w:rsidR="005F0BD5" w:rsidRDefault="00442CAC" w:rsidP="005F0BD5">
            <w:r>
              <w:t>OPVaV-2012/2.2/08-RO</w:t>
            </w:r>
          </w:p>
        </w:tc>
      </w:tr>
      <w:tr w:rsidR="00D70695" w:rsidTr="003272E8">
        <w:tc>
          <w:tcPr>
            <w:tcW w:w="3261" w:type="dxa"/>
            <w:shd w:val="clear" w:color="auto" w:fill="9BD4F9" w:themeFill="background2" w:themeFillShade="E6"/>
          </w:tcPr>
          <w:p w:rsidR="00D70695" w:rsidRPr="00176EF5" w:rsidRDefault="00D70695" w:rsidP="005F0BD5">
            <w:pPr>
              <w:rPr>
                <w:b/>
              </w:rPr>
            </w:pPr>
            <w:r>
              <w:rPr>
                <w:b/>
              </w:rPr>
              <w:t xml:space="preserve">Výška NFP </w:t>
            </w:r>
          </w:p>
        </w:tc>
        <w:tc>
          <w:tcPr>
            <w:tcW w:w="7229" w:type="dxa"/>
          </w:tcPr>
          <w:p w:rsidR="00D70695" w:rsidRDefault="0080026A" w:rsidP="005F0BD5">
            <w:r w:rsidRPr="0080026A">
              <w:t>39</w:t>
            </w:r>
            <w:r>
              <w:t> </w:t>
            </w:r>
            <w:r w:rsidRPr="0080026A">
              <w:t>648</w:t>
            </w:r>
            <w:r>
              <w:t xml:space="preserve"> </w:t>
            </w:r>
            <w:r w:rsidRPr="0080026A">
              <w:t>903,64</w:t>
            </w:r>
            <w:r>
              <w:t xml:space="preserve"> EUR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Číslo zmluvy o poskytnutí NFP </w:t>
            </w:r>
          </w:p>
        </w:tc>
        <w:tc>
          <w:tcPr>
            <w:tcW w:w="7229" w:type="dxa"/>
          </w:tcPr>
          <w:p w:rsidR="005F0BD5" w:rsidRDefault="0080026A" w:rsidP="005F0BD5">
            <w:r>
              <w:t>OPVaV/8/2013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Prijímateľ </w:t>
            </w:r>
          </w:p>
        </w:tc>
        <w:tc>
          <w:tcPr>
            <w:tcW w:w="7229" w:type="dxa"/>
          </w:tcPr>
          <w:p w:rsidR="005F0BD5" w:rsidRDefault="0080026A" w:rsidP="005F0BD5">
            <w:r w:rsidRPr="0080026A">
              <w:t>Technická univerzita v Košiciach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4822D7" w:rsidP="005F0BD5">
            <w:pPr>
              <w:rPr>
                <w:b/>
              </w:rPr>
            </w:pPr>
            <w:r>
              <w:rPr>
                <w:b/>
              </w:rPr>
              <w:t>Partner 1</w:t>
            </w:r>
          </w:p>
        </w:tc>
        <w:tc>
          <w:tcPr>
            <w:tcW w:w="7229" w:type="dxa"/>
          </w:tcPr>
          <w:p w:rsidR="005F0BD5" w:rsidRDefault="00DF7C69" w:rsidP="005F0BD5">
            <w:r w:rsidRPr="00DF7C69">
              <w:t>Univerzita Pavla Jozefa Šafárika v Košiciach</w:t>
            </w:r>
          </w:p>
        </w:tc>
      </w:tr>
      <w:tr w:rsidR="004822D7" w:rsidTr="003272E8">
        <w:tc>
          <w:tcPr>
            <w:tcW w:w="3261" w:type="dxa"/>
            <w:shd w:val="clear" w:color="auto" w:fill="9BD4F9" w:themeFill="background2" w:themeFillShade="E6"/>
          </w:tcPr>
          <w:p w:rsidR="004822D7" w:rsidRDefault="004822D7" w:rsidP="005F0BD5">
            <w:pPr>
              <w:rPr>
                <w:b/>
              </w:rPr>
            </w:pPr>
            <w:r>
              <w:rPr>
                <w:b/>
              </w:rPr>
              <w:t>Partner 2</w:t>
            </w:r>
          </w:p>
        </w:tc>
        <w:tc>
          <w:tcPr>
            <w:tcW w:w="7229" w:type="dxa"/>
          </w:tcPr>
          <w:p w:rsidR="004822D7" w:rsidRDefault="00DF7C69" w:rsidP="005F0BD5">
            <w:r w:rsidRPr="00DF7C69">
              <w:t>Prešovská univerzita v Prešove</w:t>
            </w:r>
          </w:p>
        </w:tc>
      </w:tr>
    </w:tbl>
    <w:p w:rsidR="002877FE" w:rsidRDefault="002877FE" w:rsidP="005F0BD5"/>
    <w:p w:rsidR="00E3137C" w:rsidRDefault="00E3137C" w:rsidP="005F0BD5"/>
    <w:p w:rsidR="00204800" w:rsidRDefault="00204800" w:rsidP="005F0BD5"/>
    <w:p w:rsidR="006E4A8E" w:rsidRDefault="006E4A8E" w:rsidP="005F0BD5"/>
    <w:p w:rsidR="0065201F" w:rsidRDefault="0065201F" w:rsidP="0065201F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2. </w:t>
      </w:r>
      <w:r w:rsidR="00365918">
        <w:rPr>
          <w:rFonts w:eastAsiaTheme="minorEastAsia"/>
          <w:bCs/>
          <w:iCs/>
          <w:noProof/>
          <w:lang w:eastAsia="sk-SK"/>
        </w:rPr>
        <w:t>Vecný pokrok v realizácii</w:t>
      </w:r>
      <w:r>
        <w:rPr>
          <w:rFonts w:eastAsiaTheme="minorEastAsia"/>
          <w:bCs/>
          <w:iCs/>
          <w:noProof/>
          <w:lang w:eastAsia="sk-SK"/>
        </w:rPr>
        <w:t xml:space="preserve"> aktivít</w:t>
      </w:r>
      <w:r w:rsidR="00365918">
        <w:rPr>
          <w:rFonts w:eastAsiaTheme="minorEastAsia"/>
          <w:bCs/>
          <w:iCs/>
          <w:noProof/>
          <w:lang w:eastAsia="sk-SK"/>
        </w:rPr>
        <w:t xml:space="preserve"> projektu </w:t>
      </w:r>
      <w:r>
        <w:rPr>
          <w:rFonts w:eastAsiaTheme="minorEastAsia"/>
          <w:bCs/>
          <w:iCs/>
          <w:noProof/>
          <w:lang w:eastAsia="sk-SK"/>
        </w:rPr>
        <w:t xml:space="preserve"> </w:t>
      </w:r>
      <w:r w:rsidR="00365918">
        <w:rPr>
          <w:rFonts w:eastAsiaTheme="minorEastAsia"/>
          <w:bCs/>
          <w:iCs/>
          <w:noProof/>
          <w:lang w:eastAsia="sk-SK"/>
        </w:rPr>
        <w:t>a rizikové oblasti</w:t>
      </w:r>
      <w:r>
        <w:rPr>
          <w:rFonts w:eastAsiaTheme="minorEastAsia"/>
          <w:bCs/>
          <w:iCs/>
          <w:noProof/>
          <w:lang w:eastAsia="sk-SK"/>
        </w:rPr>
        <w:t xml:space="preserve">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2660"/>
        <w:gridCol w:w="7830"/>
      </w:tblGrid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EA150F" w:rsidRDefault="0065201F" w:rsidP="003272E8">
            <w:pPr>
              <w:ind w:left="-709" w:firstLine="709"/>
              <w:jc w:val="center"/>
              <w:rPr>
                <w:b/>
                <w:vertAlign w:val="superscript"/>
              </w:rPr>
            </w:pP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>Vecn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ý pokrok v realizácii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aktivít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projektu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a rizikové oblasti</w:t>
            </w:r>
            <w:r w:rsidR="00EA150F"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1</w:t>
            </w:r>
          </w:p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B53979">
            <w:r w:rsidRPr="006D6EB3">
              <w:t>Aktivita 1.1 Etablovanie UVP TECHNICOM v súlade s adekvátnymi princípmi vedeckého manažmentu.</w:t>
            </w:r>
          </w:p>
          <w:p w:rsidR="00E12A9A" w:rsidRPr="00E12A9A" w:rsidRDefault="00E12A9A" w:rsidP="00B53979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>
            <w:pPr>
              <w:rPr>
                <w:u w:val="single"/>
              </w:rPr>
            </w:pPr>
          </w:p>
          <w:p w:rsidR="0065201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647E2E" w:rsidRPr="00204800">
              <w:rPr>
                <w:u w:val="single"/>
              </w:rPr>
              <w:t>osiahnuté výsledky aktivity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EA150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="00647E2E" w:rsidRPr="00204800">
              <w:rPr>
                <w:u w:val="single"/>
              </w:rPr>
              <w:t>izikové oblasti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647E2E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647E2E" w:rsidRPr="00204800">
              <w:rPr>
                <w:u w:val="single"/>
              </w:rPr>
              <w:t>k je realizácia aktivít v omeškaní, je potrebné uviesť dôvody omeškania a aké boli prijaté opatrenia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1.2 Metodická, odborná a realizačná podpora riešenia predkladaného projektu</w:t>
            </w:r>
          </w:p>
          <w:p w:rsidR="00E12A9A" w:rsidRDefault="00E12A9A" w:rsidP="005F0BD5">
            <w:r w:rsidRPr="00E12A9A">
              <w:t>(PhDr. Branislav Bonk)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1.3 Príprava a zabezpečenie služieb pre udržateľný chod UVP TECHNICOM</w:t>
            </w:r>
          </w:p>
          <w:p w:rsidR="00E12A9A" w:rsidRDefault="00E12A9A" w:rsidP="005F0BD5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2.1. Vybudovanie stavebných objektov a príslušnej infraštruktúry v areáli TUKE</w:t>
            </w:r>
          </w:p>
          <w:p w:rsidR="00E12A9A" w:rsidRDefault="00E12A9A" w:rsidP="005F0BD5">
            <w:r w:rsidRPr="00E12A9A">
              <w:t xml:space="preserve">(Ing. Marcel </w:t>
            </w:r>
            <w:proofErr w:type="spellStart"/>
            <w:r w:rsidRPr="00E12A9A">
              <w:t>Behún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S</w:t>
            </w:r>
            <w:r w:rsidR="00717D64" w:rsidRPr="00204800">
              <w:rPr>
                <w:u w:val="single"/>
              </w:rPr>
              <w:t>účasný stav verejného obstarávania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EA150F" w:rsidRP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stavebných činnostiach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755127" w:rsidRDefault="00755127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P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  <w:p w:rsidR="00E12A9A" w:rsidRDefault="00E12A9A" w:rsidP="005F0BD5">
            <w:r w:rsidRPr="00E12A9A">
              <w:t>(Ing. Martin Chovanec,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dodaní tovarov a</w:t>
            </w:r>
            <w:r w:rsidRPr="00204800">
              <w:rPr>
                <w:u w:val="single"/>
              </w:rPr>
              <w:t> </w:t>
            </w:r>
            <w:r w:rsidR="00647E2E" w:rsidRPr="00204800">
              <w:rPr>
                <w:u w:val="single"/>
              </w:rPr>
              <w:t>služieb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2.3 Nadstavba, zateplenie a modernizácia časti UVP TECHNICOM na Jesennej 5 v</w:t>
            </w:r>
            <w:r w:rsidR="00E12A9A">
              <w:t> </w:t>
            </w:r>
            <w:r w:rsidRPr="006D6EB3">
              <w:t>Košiciach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Pr="00466316" w:rsidRDefault="00204800" w:rsidP="00204800"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  <w:r w:rsidR="00466316">
              <w:t xml:space="preserve"> Bola dosiahnutá dohoda s dodávateľom </w:t>
            </w:r>
            <w:r w:rsidR="00DD3A4F">
              <w:t>stavebných prác týkajúca sa začiatku realizácie stavby. Podľa aktuálnej dohody sa začnú stavebné práce realizovať v apríly 2015.</w:t>
            </w:r>
            <w:r w:rsidR="003A554A">
              <w:t xml:space="preserve"> V marci prebehlo stretnutie so stavbyvedúcim, stavebným dozorom a projektantom a bola vykonaná spoločná obhliadka staveniska. Prípravné práce na stavenisku ako je napr. zabezpečenie klimatizačných jednotiek, oddelenie stavebnej časti od nestavebnej a vybúranie otvoru pre vstup na stavenisko zrealizuje po dohode s dodávateľom UPJŠ. Prípravné práce by mali byť ukončené v druhý aprílový týždeň.</w:t>
            </w:r>
          </w:p>
          <w:p w:rsidR="00204800" w:rsidRDefault="00204800" w:rsidP="00717D64"/>
          <w:p w:rsidR="00204800" w:rsidRPr="00720BEF" w:rsidRDefault="00204800" w:rsidP="00204800">
            <w:r w:rsidRPr="00204800">
              <w:rPr>
                <w:u w:val="single"/>
              </w:rPr>
              <w:t>Súčasný stav verejného obstarávania:</w:t>
            </w:r>
            <w:r w:rsidR="00720BEF">
              <w:t xml:space="preserve"> </w:t>
            </w:r>
            <w:r w:rsidR="00C90CF8">
              <w:t>VO</w:t>
            </w:r>
            <w:r w:rsidR="00720BEF">
              <w:t xml:space="preserve"> je ukončené</w:t>
            </w:r>
          </w:p>
          <w:p w:rsidR="00204800" w:rsidRDefault="00204800" w:rsidP="005F0BD5"/>
          <w:p w:rsidR="00204800" w:rsidRPr="00720BEF" w:rsidRDefault="00204800" w:rsidP="00204800">
            <w:r w:rsidRPr="00204800">
              <w:rPr>
                <w:u w:val="single"/>
              </w:rPr>
              <w:t>Pokrok v stavebných činnostiach:</w:t>
            </w:r>
            <w:r w:rsidR="00720BEF">
              <w:t xml:space="preserve"> stavebné činnosti zatiaľ </w:t>
            </w:r>
            <w:r w:rsidR="009A70CD">
              <w:t xml:space="preserve">dodávateľ </w:t>
            </w:r>
            <w:r w:rsidR="00720BEF">
              <w:t>nezačal realizovať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9A70CD" w:rsidRDefault="00204800" w:rsidP="00204800"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9A70CD">
              <w:t xml:space="preserve"> </w:t>
            </w:r>
            <w:r w:rsidR="00DD3A4F">
              <w:t>nedodržanie harmonogramu prác</w:t>
            </w:r>
          </w:p>
          <w:p w:rsidR="00204800" w:rsidRDefault="00204800" w:rsidP="005F0BD5"/>
          <w:p w:rsidR="00204800" w:rsidRPr="00DD3A4F" w:rsidRDefault="00204800" w:rsidP="00204800"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DD3A4F">
              <w:t xml:space="preserve"> </w:t>
            </w:r>
            <w:r w:rsidR="00114E39">
              <w:t xml:space="preserve">Prijaté opatrenia: obnovená komunikácia s dodávateľom stavebných prác, akceptovanie všetkých požiadaviek a spolufinancovanie </w:t>
            </w:r>
            <w:r w:rsidR="000207AE">
              <w:t>prípravy staveniska.</w:t>
            </w:r>
          </w:p>
          <w:p w:rsidR="00755127" w:rsidRDefault="00755127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2.4  Vybavenie UVP TECHNICOM Jesenná 5 infraštruktúrou potrebnou k realizácii aplikovaného výskumu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Pr="00E55DDC" w:rsidRDefault="00204800" w:rsidP="00204800"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  <w:r w:rsidR="00E55DDC">
              <w:t xml:space="preserve"> </w:t>
            </w:r>
            <w:r w:rsidR="000A27D0">
              <w:t>Vo februári a marci boli dodávateľovi zaslané</w:t>
            </w:r>
            <w:r w:rsidR="00E21ECA">
              <w:t xml:space="preserve"> </w:t>
            </w:r>
            <w:r w:rsidR="000A27D0">
              <w:t xml:space="preserve">objednávky na dodávku IKT a softvéru v celkovej hodnote 318 211,- €. Zároveň boli v spolupráci s dodávateľom pripravené vyhlásenia </w:t>
            </w:r>
            <w:r w:rsidR="00311718">
              <w:t xml:space="preserve">o nedostupnosti tovaru pre položky  ktoré </w:t>
            </w:r>
            <w:r w:rsidR="00311718" w:rsidRPr="00311718">
              <w:t>nie sú dostupné na trhu z dôvodu ukončenia ich výroby</w:t>
            </w:r>
            <w:r w:rsidR="00311718">
              <w:t>.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  <w:r w:rsidR="00C90CF8" w:rsidRPr="00C90CF8">
              <w:t xml:space="preserve"> VO </w:t>
            </w:r>
            <w:r w:rsidR="00C90CF8">
              <w:t xml:space="preserve">je </w:t>
            </w:r>
            <w:r w:rsidR="00C90CF8" w:rsidRPr="00C90CF8">
              <w:t>ukončené</w:t>
            </w:r>
          </w:p>
          <w:p w:rsidR="00204800" w:rsidRDefault="00204800" w:rsidP="00647E2E"/>
          <w:p w:rsidR="00204800" w:rsidRPr="00C90CF8" w:rsidRDefault="00204800" w:rsidP="00204800">
            <w:r w:rsidRPr="00204800">
              <w:rPr>
                <w:u w:val="single"/>
              </w:rPr>
              <w:t>Pokrok v dodaní tovarov a služieb:</w:t>
            </w:r>
            <w:r w:rsidR="00C90CF8">
              <w:t xml:space="preserve"> Boli vystavené 3 objednávky na IKT a softvér v celkovej hodnote </w:t>
            </w:r>
            <w:r w:rsidR="0050147F">
              <w:t>318 211,- €. V marci 2015 bol dodaný softvér MATLAB a </w:t>
            </w:r>
            <w:proofErr w:type="spellStart"/>
            <w:r w:rsidR="0050147F">
              <w:t>Photoshop</w:t>
            </w:r>
            <w:proofErr w:type="spellEnd"/>
            <w:r w:rsidR="0050147F">
              <w:t>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50147F" w:rsidRDefault="00204800" w:rsidP="00204800"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50147F">
              <w:t xml:space="preserve"> </w:t>
            </w:r>
            <w:r w:rsidR="00E55DDC">
              <w:t xml:space="preserve">Nedostupnosť špecifikovaných tovarov na trhu v požadovanom množstve. Umiestnenie centrálneho výpočtového uzla je plánované do </w:t>
            </w:r>
            <w:proofErr w:type="spellStart"/>
            <w:r w:rsidR="00E55DDC">
              <w:t>serverovne</w:t>
            </w:r>
            <w:proofErr w:type="spellEnd"/>
            <w:r w:rsidR="00E21ECA">
              <w:t xml:space="preserve"> v  časti budovy kde je plánovaná rekonštrukcia v rámci projektu</w:t>
            </w:r>
            <w:r w:rsidR="00E55DDC">
              <w:t>. Vzhľadom na meškanie stavebných prác možno budeme musieť hľadať alternatívne umiestnenie.</w:t>
            </w:r>
          </w:p>
          <w:p w:rsidR="00204800" w:rsidRDefault="00204800" w:rsidP="005F0BD5"/>
          <w:p w:rsidR="00204800" w:rsidRPr="00E20A02" w:rsidRDefault="00204800" w:rsidP="00204800"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57062F" w:rsidRPr="0057062F">
              <w:t xml:space="preserve"> Opakovanie VO.</w:t>
            </w:r>
          </w:p>
          <w:p w:rsidR="00EA150F" w:rsidRDefault="00EA150F" w:rsidP="005F0BD5"/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 xml:space="preserve">Aktivita 2.5 Výstavba nových výskumných priestorov partnera Prešovská univerzita </w:t>
            </w:r>
            <w:r w:rsidR="00E12A9A">
              <w:t>–</w:t>
            </w:r>
            <w:r w:rsidRPr="006D6EB3">
              <w:t xml:space="preserve"> UNIPOLAB</w:t>
            </w:r>
          </w:p>
          <w:p w:rsidR="00E12A9A" w:rsidRDefault="00E12A9A" w:rsidP="005F0BD5">
            <w:r w:rsidRPr="00E12A9A">
              <w:t>(doc. Ing. Peter Adamišin,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2.6  Vybavenie priestorov partnera PU nevyhnutnou prístrojovou, laboratórnou a IKT infraštruktúrou</w:t>
            </w:r>
          </w:p>
          <w:p w:rsidR="00E12A9A" w:rsidRDefault="00E12A9A" w:rsidP="005F0BD5">
            <w:r w:rsidRPr="00E12A9A">
              <w:t>(doc. Ing. Peter Adamišin,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3.1 Pilotné projekty v odbore  Informačné a komunikačné technológie</w:t>
            </w:r>
          </w:p>
          <w:p w:rsidR="00E12A9A" w:rsidRDefault="00E12A9A" w:rsidP="005F0BD5">
            <w:r w:rsidRPr="00E12A9A">
              <w:t>(doc. Ing. František Jakab,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5F0BD5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3.2 Pilotné projekty v odbore Elektrotechnika, automatizácia a riadiace systémy</w:t>
            </w:r>
          </w:p>
          <w:p w:rsidR="00E12A9A" w:rsidRDefault="00E12A9A" w:rsidP="005F0BD5">
            <w:r w:rsidRPr="00E12A9A">
              <w:t xml:space="preserve">(prof. Ing. </w:t>
            </w:r>
            <w:proofErr w:type="spellStart"/>
            <w:r w:rsidRPr="00E12A9A">
              <w:t>AlenaPietriková</w:t>
            </w:r>
            <w:proofErr w:type="spellEnd"/>
            <w:r w:rsidRPr="00E12A9A">
              <w:t>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3.3 Pilotné projekty v odbore Strojárstvo</w:t>
            </w:r>
          </w:p>
          <w:p w:rsidR="00E12A9A" w:rsidRDefault="00E12A9A" w:rsidP="005F0BD5">
            <w:r w:rsidRPr="00E12A9A">
              <w:t>(</w:t>
            </w:r>
            <w:proofErr w:type="spellStart"/>
            <w:r w:rsidRPr="00E12A9A">
              <w:t>Dr.h.c.prof.Ing.Miroslav</w:t>
            </w:r>
            <w:proofErr w:type="spellEnd"/>
            <w:r w:rsidRPr="00E12A9A">
              <w:t xml:space="preserve"> </w:t>
            </w:r>
            <w:proofErr w:type="spellStart"/>
            <w:r w:rsidRPr="00E12A9A">
              <w:t>Badida</w:t>
            </w:r>
            <w:proofErr w:type="spellEnd"/>
            <w:r w:rsidRPr="00E12A9A">
              <w:t>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647E2E" w:rsidRDefault="00647E2E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 xml:space="preserve">Aktivita 3.4 Pilotné </w:t>
            </w:r>
            <w:r w:rsidRPr="006D6EB3">
              <w:lastRenderedPageBreak/>
              <w:t>projekty v odbore Stavebné inžinierstvo</w:t>
            </w:r>
          </w:p>
          <w:p w:rsidR="00E12A9A" w:rsidRDefault="00E12A9A" w:rsidP="005F0BD5">
            <w:r w:rsidRPr="00E12A9A">
              <w:t>(prof. Ing. Stanislav Kmeť,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 w:rsidR="0018056B"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3.5 Pilotné projekty v odbore Environmentálne inžinierstvo</w:t>
            </w:r>
          </w:p>
          <w:p w:rsidR="00E12A9A" w:rsidRPr="006D6EB3" w:rsidRDefault="00E12A9A" w:rsidP="005F0BD5">
            <w:r w:rsidRPr="00E12A9A">
              <w:t>(doc. Ing.  Ján Spišák,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3.6.  Pilotné projekty UPJŠ v odbore Informačné a komunikačné technológie</w:t>
            </w:r>
          </w:p>
          <w:p w:rsidR="00E12A9A" w:rsidRPr="006D6EB3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3C4B7C" w:rsidRPr="0043004B" w:rsidRDefault="003C4B7C" w:rsidP="003C4B7C">
            <w:pPr>
              <w:rPr>
                <w:b/>
              </w:rPr>
            </w:pPr>
            <w:r w:rsidRPr="0043004B">
              <w:rPr>
                <w:b/>
              </w:rPr>
              <w:t>PP 1. Aplikovaný výskum v oblasti paralelného a distribuovaného počítania:</w:t>
            </w:r>
          </w:p>
          <w:p w:rsidR="0043004B" w:rsidRDefault="0043004B" w:rsidP="0043004B">
            <w:pPr>
              <w:pStyle w:val="Odsekzoznamu"/>
              <w:numPr>
                <w:ilvl w:val="0"/>
                <w:numId w:val="2"/>
              </w:numPr>
            </w:pPr>
            <w:r>
              <w:t xml:space="preserve">návrh a vývoj  databázového  systému pre rýchle triedenie informácií </w:t>
            </w:r>
          </w:p>
          <w:p w:rsidR="0043004B" w:rsidRDefault="0043004B" w:rsidP="0043004B">
            <w:pPr>
              <w:pStyle w:val="Odsekzoznamu"/>
              <w:numPr>
                <w:ilvl w:val="0"/>
                <w:numId w:val="2"/>
              </w:numPr>
            </w:pPr>
            <w:r>
              <w:t>vývoj vzorovej REST služby na komunikáciu s DB a prezentáciu informácii cez HTML (</w:t>
            </w:r>
            <w:proofErr w:type="spellStart"/>
            <w:r>
              <w:t>Angular</w:t>
            </w:r>
            <w:proofErr w:type="spellEnd"/>
            <w:r>
              <w:t xml:space="preserve"> JS) </w:t>
            </w:r>
          </w:p>
          <w:p w:rsidR="0043004B" w:rsidRDefault="0043004B" w:rsidP="0043004B">
            <w:pPr>
              <w:pStyle w:val="Odsekzoznamu"/>
              <w:numPr>
                <w:ilvl w:val="0"/>
                <w:numId w:val="2"/>
              </w:numPr>
            </w:pPr>
            <w:r>
              <w:t xml:space="preserve">implementácia API2 rozhrania v </w:t>
            </w:r>
            <w:proofErr w:type="spellStart"/>
            <w:r>
              <w:t>SeaFile</w:t>
            </w:r>
            <w:proofErr w:type="spellEnd"/>
            <w:r>
              <w:t xml:space="preserve"> službe + príprava knižnice na komunikáciu cez API2 rozhranie</w:t>
            </w:r>
          </w:p>
          <w:p w:rsidR="0043004B" w:rsidRDefault="0043004B" w:rsidP="0043004B">
            <w:pPr>
              <w:pStyle w:val="Odsekzoznamu"/>
              <w:numPr>
                <w:ilvl w:val="0"/>
                <w:numId w:val="2"/>
              </w:numPr>
            </w:pPr>
            <w:r>
              <w:t xml:space="preserve">implementácia </w:t>
            </w:r>
            <w:proofErr w:type="spellStart"/>
            <w:r>
              <w:t>sessions</w:t>
            </w:r>
            <w:proofErr w:type="spellEnd"/>
            <w:r>
              <w:t xml:space="preserve"> v </w:t>
            </w:r>
            <w:proofErr w:type="spellStart"/>
            <w:r>
              <w:t>Django</w:t>
            </w:r>
            <w:proofErr w:type="spellEnd"/>
            <w:r>
              <w:t xml:space="preserve"> + implementácia do základného prihlasovacieho modulu</w:t>
            </w:r>
          </w:p>
          <w:p w:rsidR="003C4B7C" w:rsidRDefault="0043004B" w:rsidP="0043004B">
            <w:pPr>
              <w:pStyle w:val="Odsekzoznamu"/>
              <w:numPr>
                <w:ilvl w:val="0"/>
                <w:numId w:val="2"/>
              </w:numPr>
            </w:pPr>
            <w:r>
              <w:t xml:space="preserve">implementácia registrácie užívateľa do databázy - na strane </w:t>
            </w:r>
            <w:proofErr w:type="spellStart"/>
            <w:r>
              <w:t>Django</w:t>
            </w:r>
            <w:proofErr w:type="spellEnd"/>
            <w:r>
              <w:t xml:space="preserve"> aj na strane HTML použitím </w:t>
            </w:r>
            <w:proofErr w:type="spellStart"/>
            <w:r>
              <w:t>AngularJS</w:t>
            </w:r>
            <w:proofErr w:type="spellEnd"/>
          </w:p>
          <w:p w:rsidR="0043004B" w:rsidRDefault="0043004B" w:rsidP="003C4B7C"/>
          <w:p w:rsidR="003C4B7C" w:rsidRPr="001B321B" w:rsidRDefault="003C4B7C" w:rsidP="003C4B7C">
            <w:pPr>
              <w:rPr>
                <w:b/>
              </w:rPr>
            </w:pPr>
            <w:r w:rsidRPr="001B321B">
              <w:rPr>
                <w:b/>
              </w:rPr>
              <w:t>PP 2. Vývoj nástrojov a metód pre virtuálnu kolaboráciu:</w:t>
            </w:r>
          </w:p>
          <w:p w:rsidR="001B321B" w:rsidRPr="000A69A6" w:rsidRDefault="001B321B" w:rsidP="001B321B">
            <w:pPr>
              <w:rPr>
                <w:u w:val="single"/>
              </w:rPr>
            </w:pPr>
            <w:r w:rsidRPr="000A69A6">
              <w:rPr>
                <w:u w:val="single"/>
              </w:rPr>
              <w:t>Výsledky vývojárov EVO/</w:t>
            </w:r>
            <w:proofErr w:type="spellStart"/>
            <w:r w:rsidRPr="000A69A6">
              <w:rPr>
                <w:u w:val="single"/>
              </w:rPr>
              <w:t>SeeVogh</w:t>
            </w:r>
            <w:proofErr w:type="spellEnd"/>
            <w:r w:rsidRPr="000A69A6">
              <w:rPr>
                <w:u w:val="single"/>
              </w:rPr>
              <w:t>:</w:t>
            </w:r>
          </w:p>
          <w:p w:rsidR="001B321B" w:rsidRDefault="001B321B" w:rsidP="001B321B">
            <w:pPr>
              <w:pStyle w:val="Odsekzoznamu"/>
              <w:numPr>
                <w:ilvl w:val="0"/>
                <w:numId w:val="3"/>
              </w:numPr>
            </w:pPr>
            <w:r>
              <w:t xml:space="preserve">ukončené práce na beta verzii </w:t>
            </w:r>
            <w:proofErr w:type="spellStart"/>
            <w:r>
              <w:t>WebRTC</w:t>
            </w:r>
            <w:proofErr w:type="spellEnd"/>
            <w:r>
              <w:t xml:space="preserve"> klientskej aplikácií</w:t>
            </w:r>
          </w:p>
          <w:p w:rsidR="001B321B" w:rsidRDefault="001B321B" w:rsidP="001B321B">
            <w:pPr>
              <w:pStyle w:val="Odsekzoznamu"/>
              <w:numPr>
                <w:ilvl w:val="0"/>
                <w:numId w:val="3"/>
              </w:numPr>
            </w:pPr>
            <w:r>
              <w:t xml:space="preserve">návrh a vývoj novej funkcionality </w:t>
            </w:r>
            <w:proofErr w:type="spellStart"/>
            <w:r>
              <w:t>zdieľania</w:t>
            </w:r>
            <w:proofErr w:type="spellEnd"/>
            <w:r>
              <w:t xml:space="preserve"> pracovnej plochy vysielanej z </w:t>
            </w:r>
            <w:proofErr w:type="spellStart"/>
            <w:r>
              <w:t>WebRTC</w:t>
            </w:r>
            <w:proofErr w:type="spellEnd"/>
            <w:r>
              <w:t xml:space="preserve"> klienta</w:t>
            </w:r>
          </w:p>
          <w:p w:rsidR="003C4B7C" w:rsidRDefault="001B321B" w:rsidP="001B321B">
            <w:pPr>
              <w:pStyle w:val="Odsekzoznamu"/>
              <w:numPr>
                <w:ilvl w:val="0"/>
                <w:numId w:val="3"/>
              </w:numPr>
            </w:pPr>
            <w:r>
              <w:t xml:space="preserve">testovanie a odlaďovanie chýb </w:t>
            </w:r>
            <w:proofErr w:type="spellStart"/>
            <w:r>
              <w:t>WebRTC</w:t>
            </w:r>
            <w:proofErr w:type="spellEnd"/>
            <w:r>
              <w:t xml:space="preserve"> koncovej  klientskej aplikácie.</w:t>
            </w:r>
          </w:p>
          <w:p w:rsidR="001B321B" w:rsidRPr="000A69A6" w:rsidRDefault="001B321B" w:rsidP="001B321B">
            <w:pPr>
              <w:rPr>
                <w:u w:val="single"/>
              </w:rPr>
            </w:pPr>
            <w:r w:rsidRPr="000A69A6">
              <w:rPr>
                <w:u w:val="single"/>
              </w:rPr>
              <w:t xml:space="preserve">Výsledky vývojárov </w:t>
            </w:r>
            <w:proofErr w:type="spellStart"/>
            <w:r w:rsidRPr="000A69A6">
              <w:rPr>
                <w:u w:val="single"/>
              </w:rPr>
              <w:t>V-arény</w:t>
            </w:r>
            <w:proofErr w:type="spellEnd"/>
            <w:r w:rsidRPr="000A69A6">
              <w:rPr>
                <w:u w:val="single"/>
              </w:rPr>
              <w:t>:</w:t>
            </w:r>
          </w:p>
          <w:p w:rsidR="001B321B" w:rsidRDefault="001B321B" w:rsidP="001B321B">
            <w:pPr>
              <w:pStyle w:val="Odsekzoznamu"/>
              <w:numPr>
                <w:ilvl w:val="0"/>
                <w:numId w:val="4"/>
              </w:numPr>
            </w:pPr>
            <w:r>
              <w:t xml:space="preserve">implementácia </w:t>
            </w:r>
            <w:proofErr w:type="spellStart"/>
            <w:r>
              <w:t>video-manuálov</w:t>
            </w:r>
            <w:proofErr w:type="spellEnd"/>
            <w:r>
              <w:t xml:space="preserve"> do systému</w:t>
            </w:r>
          </w:p>
          <w:p w:rsidR="001B321B" w:rsidRDefault="001B321B" w:rsidP="001B321B">
            <w:pPr>
              <w:pStyle w:val="Odsekzoznamu"/>
              <w:numPr>
                <w:ilvl w:val="0"/>
                <w:numId w:val="4"/>
              </w:numPr>
            </w:pPr>
            <w:r>
              <w:t>zdokonalenie prostredia technologických testov</w:t>
            </w:r>
          </w:p>
          <w:p w:rsidR="001B321B" w:rsidRDefault="001B321B" w:rsidP="001B321B">
            <w:pPr>
              <w:pStyle w:val="Odsekzoznamu"/>
              <w:numPr>
                <w:ilvl w:val="0"/>
                <w:numId w:val="4"/>
              </w:numPr>
            </w:pPr>
            <w:r>
              <w:t xml:space="preserve">Implementácia databázy SK-CRIS do </w:t>
            </w:r>
            <w:proofErr w:type="spellStart"/>
            <w:r>
              <w:t>V-arény</w:t>
            </w:r>
            <w:proofErr w:type="spellEnd"/>
            <w:r>
              <w:t>.  Analýza výstupov databázy SK-CRIS - potenciálnych užívateľov systému. Súčasná databáza obsahuje 16291 položiek = potenciálnych užívateľov systému, z toho  11196 užívateľov je z Verejných VŠ, 2582 zo SAV.</w:t>
            </w:r>
          </w:p>
          <w:p w:rsidR="001B321B" w:rsidRDefault="001B321B" w:rsidP="001B321B"/>
          <w:p w:rsidR="003C4B7C" w:rsidRPr="00CF32AD" w:rsidRDefault="003C4B7C" w:rsidP="003C4B7C">
            <w:pPr>
              <w:rPr>
                <w:b/>
              </w:rPr>
            </w:pPr>
            <w:r w:rsidRPr="00CF32AD">
              <w:rPr>
                <w:b/>
              </w:rPr>
              <w:t>PP 3. Výskum v oblasti inovatívnych interakcií človek-počítač:</w:t>
            </w:r>
          </w:p>
          <w:p w:rsidR="003C4B7C" w:rsidRDefault="00A06021" w:rsidP="00CF32AD">
            <w:pPr>
              <w:pStyle w:val="Odsekzoznamu"/>
              <w:numPr>
                <w:ilvl w:val="0"/>
                <w:numId w:val="6"/>
              </w:numPr>
            </w:pPr>
            <w:r>
              <w:t>d</w:t>
            </w:r>
            <w:r w:rsidR="00CF32AD" w:rsidRPr="00CF32AD">
              <w:t xml:space="preserve">o novozískanej akustickej komory bolo o nových 16 kanálov doplnené 32-kanálové zariadenie EEG na sledovanie mozgovej aktivity (zodpovedný M. </w:t>
            </w:r>
            <w:proofErr w:type="spellStart"/>
            <w:r w:rsidR="00CF32AD" w:rsidRPr="00CF32AD">
              <w:lastRenderedPageBreak/>
              <w:t>Jovovič</w:t>
            </w:r>
            <w:proofErr w:type="spellEnd"/>
            <w:r w:rsidR="00CF32AD" w:rsidRPr="00CF32AD">
              <w:t xml:space="preserve">). V súčasnosti prebiehajú testy a pripravuje sa výskumné nasadenie tohto zariadenia. Toto zariadenie umožní študovanie </w:t>
            </w:r>
            <w:proofErr w:type="spellStart"/>
            <w:r w:rsidR="00CF32AD" w:rsidRPr="00CF32AD">
              <w:t>Human-Computer</w:t>
            </w:r>
            <w:proofErr w:type="spellEnd"/>
            <w:r w:rsidR="00CF32AD" w:rsidRPr="00CF32AD">
              <w:t xml:space="preserve"> </w:t>
            </w:r>
            <w:proofErr w:type="spellStart"/>
            <w:r w:rsidR="00CF32AD" w:rsidRPr="00CF32AD">
              <w:t>Interactions</w:t>
            </w:r>
            <w:proofErr w:type="spellEnd"/>
            <w:r w:rsidR="00CF32AD" w:rsidRPr="00CF32AD">
              <w:t xml:space="preserve"> novou formou – priam</w:t>
            </w:r>
            <w:r>
              <w:t>ym sledovaním mozgovej aktivity</w:t>
            </w:r>
          </w:p>
          <w:p w:rsidR="00CF32AD" w:rsidRDefault="00A06021" w:rsidP="003C4B7C">
            <w:pPr>
              <w:pStyle w:val="Odsekzoznamu"/>
              <w:numPr>
                <w:ilvl w:val="0"/>
                <w:numId w:val="6"/>
              </w:numPr>
            </w:pPr>
            <w:r w:rsidRPr="00A06021">
              <w:t>pokro</w:t>
            </w:r>
            <w:r>
              <w:t>k</w:t>
            </w:r>
            <w:r w:rsidRPr="00A06021">
              <w:t xml:space="preserve"> v analýze behaviorálnych dát v oblasti rečovo-sluchovej HCI: vykonané boli nové experimenty zamerané na vnímanie vzdialenosti zvukov, porozumenie reči v zložitých prostrediach a </w:t>
            </w:r>
            <w:proofErr w:type="spellStart"/>
            <w:r w:rsidRPr="00A06021">
              <w:t>kontextuálna</w:t>
            </w:r>
            <w:proofErr w:type="spellEnd"/>
            <w:r w:rsidRPr="00A06021">
              <w:t xml:space="preserve"> </w:t>
            </w:r>
            <w:proofErr w:type="spellStart"/>
            <w:r w:rsidRPr="00A06021">
              <w:t>plasticita</w:t>
            </w:r>
            <w:proofErr w:type="spellEnd"/>
            <w:r w:rsidRPr="00A06021">
              <w:t xml:space="preserve"> v priestorovom počúvaní</w:t>
            </w:r>
          </w:p>
          <w:p w:rsidR="00A06021" w:rsidRDefault="00A06021" w:rsidP="00A06021">
            <w:pPr>
              <w:pStyle w:val="Odsekzoznamu"/>
              <w:numPr>
                <w:ilvl w:val="0"/>
                <w:numId w:val="6"/>
              </w:numPr>
            </w:pPr>
            <w:r>
              <w:t xml:space="preserve">Akceptácia abstraktu na medzinárodnej konferencii ASA- zodpovední riešitelia: G. Andrejková a N. Kopčo:  Andrejková, G., Kopčo, N., </w:t>
            </w:r>
            <w:proofErr w:type="spellStart"/>
            <w:r>
              <w:t>Best</w:t>
            </w:r>
            <w:proofErr w:type="spellEnd"/>
            <w:r>
              <w:t xml:space="preserve">, V.,  </w:t>
            </w:r>
            <w:proofErr w:type="spellStart"/>
            <w:r>
              <w:t>Shinn-Cunningham</w:t>
            </w:r>
            <w:proofErr w:type="spellEnd"/>
            <w:r>
              <w:t xml:space="preserve">, B.G. (2015). </w:t>
            </w:r>
            <w:proofErr w:type="spellStart"/>
            <w:r>
              <w:t>Streaming</w:t>
            </w:r>
            <w:proofErr w:type="spellEnd"/>
            <w:r>
              <w:t xml:space="preserve"> and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localization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preceding</w:t>
            </w:r>
            <w:proofErr w:type="spellEnd"/>
            <w:r>
              <w:t xml:space="preserve"> </w:t>
            </w:r>
            <w:proofErr w:type="spellStart"/>
            <w:r>
              <w:t>distractor</w:t>
            </w:r>
            <w:proofErr w:type="spellEnd"/>
            <w:r>
              <w:t xml:space="preserve">. ASA </w:t>
            </w:r>
            <w:proofErr w:type="spellStart"/>
            <w:r>
              <w:t>Spring</w:t>
            </w:r>
            <w:proofErr w:type="spellEnd"/>
            <w:r>
              <w:t xml:space="preserve"> 2015.</w:t>
            </w:r>
          </w:p>
          <w:p w:rsidR="00A06021" w:rsidRDefault="00A06021" w:rsidP="00A06021">
            <w:pPr>
              <w:pStyle w:val="Odsekzoznamu"/>
              <w:numPr>
                <w:ilvl w:val="0"/>
                <w:numId w:val="6"/>
              </w:numPr>
            </w:pPr>
            <w:r>
              <w:t xml:space="preserve">Organizácia a príprava sympózia o </w:t>
            </w:r>
            <w:proofErr w:type="spellStart"/>
            <w:r>
              <w:t>spin-offs</w:t>
            </w:r>
            <w:proofErr w:type="spellEnd"/>
            <w:r>
              <w:t xml:space="preserve"> a </w:t>
            </w:r>
            <w:proofErr w:type="spellStart"/>
            <w:r>
              <w:t>start-up</w:t>
            </w:r>
            <w:proofErr w:type="spellEnd"/>
            <w:r>
              <w:t xml:space="preserve">- zodpovedný riešiteľ N. Kopčo: </w:t>
            </w:r>
            <w:proofErr w:type="spellStart"/>
            <w:r>
              <w:t>Symposium</w:t>
            </w:r>
            <w:proofErr w:type="spellEnd"/>
            <w:r>
              <w:t xml:space="preserve"> on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spin-offs</w:t>
            </w:r>
            <w:proofErr w:type="spellEnd"/>
            <w:r>
              <w:t xml:space="preserve"> and </w:t>
            </w:r>
            <w:proofErr w:type="spellStart"/>
            <w:r>
              <w:t>start-up</w:t>
            </w:r>
            <w:proofErr w:type="spellEnd"/>
            <w:r>
              <w:t xml:space="preserve"> </w:t>
            </w:r>
            <w:proofErr w:type="spellStart"/>
            <w:r>
              <w:t>companies</w:t>
            </w:r>
            <w:proofErr w:type="spellEnd"/>
            <w:r>
              <w:t xml:space="preserve">. 23-24 </w:t>
            </w:r>
            <w:proofErr w:type="spellStart"/>
            <w:r>
              <w:t>April</w:t>
            </w:r>
            <w:proofErr w:type="spellEnd"/>
            <w:r>
              <w:t xml:space="preserve"> 2015, Košice, Slovakia.</w:t>
            </w:r>
          </w:p>
          <w:p w:rsidR="00CF32AD" w:rsidRDefault="00CF32AD" w:rsidP="003C4B7C"/>
          <w:p w:rsidR="003C4B7C" w:rsidRPr="00434F1F" w:rsidRDefault="003C4B7C" w:rsidP="003C4B7C">
            <w:pPr>
              <w:rPr>
                <w:b/>
              </w:rPr>
            </w:pPr>
            <w:r w:rsidRPr="00434F1F">
              <w:rPr>
                <w:b/>
              </w:rPr>
              <w:t>PP 4. Vývoj informačných systémov pre podporu riadenia vzdelávania, vedy a výskumu:</w:t>
            </w:r>
          </w:p>
          <w:p w:rsidR="00434F1F" w:rsidRDefault="00434F1F" w:rsidP="00434F1F">
            <w:pPr>
              <w:pStyle w:val="Odsekzoznamu"/>
              <w:numPr>
                <w:ilvl w:val="0"/>
                <w:numId w:val="7"/>
              </w:numPr>
            </w:pPr>
            <w:r w:rsidRPr="00434F1F">
              <w:t>detekcia chybných dát v databáze a s tým spojený vývoj pomocných nástrojov pre prácu s rozsiahlymi dátami</w:t>
            </w:r>
          </w:p>
          <w:p w:rsidR="00434F1F" w:rsidRDefault="00434F1F" w:rsidP="00434F1F">
            <w:pPr>
              <w:pStyle w:val="Odsekzoznamu"/>
              <w:numPr>
                <w:ilvl w:val="0"/>
                <w:numId w:val="7"/>
              </w:numPr>
            </w:pPr>
            <w:r w:rsidRPr="00434F1F">
              <w:t>rozšírenie služieb týkajúcich sa podávania elektronickej prihlášky</w:t>
            </w:r>
          </w:p>
          <w:p w:rsidR="003C4B7C" w:rsidRDefault="00434F1F" w:rsidP="00434F1F">
            <w:pPr>
              <w:pStyle w:val="Odsekzoznamu"/>
              <w:numPr>
                <w:ilvl w:val="0"/>
                <w:numId w:val="7"/>
              </w:numPr>
            </w:pPr>
            <w:r w:rsidRPr="00434F1F">
              <w:t>vylepšenie autentifikácie užívateľov prostredníctvom nových SAML2 metód.</w:t>
            </w:r>
          </w:p>
          <w:p w:rsidR="00434F1F" w:rsidRDefault="00434F1F" w:rsidP="003C4B7C"/>
          <w:p w:rsidR="003C4B7C" w:rsidRPr="00EC7605" w:rsidRDefault="003C4B7C" w:rsidP="003C4B7C">
            <w:pPr>
              <w:rPr>
                <w:b/>
              </w:rPr>
            </w:pPr>
            <w:r w:rsidRPr="00EC7605">
              <w:rPr>
                <w:b/>
              </w:rPr>
              <w:t>PP 5. Výskum v oblasti reprezentácie a analýzy dát:</w:t>
            </w:r>
          </w:p>
          <w:p w:rsidR="00EC7605" w:rsidRDefault="00EC7605" w:rsidP="00EC7605">
            <w:pPr>
              <w:pStyle w:val="Odsekzoznamu"/>
              <w:numPr>
                <w:ilvl w:val="0"/>
                <w:numId w:val="8"/>
              </w:numPr>
            </w:pPr>
            <w:r>
              <w:t xml:space="preserve">pokračovanie </w:t>
            </w:r>
            <w:r w:rsidRPr="00EC7605">
              <w:t>vývoj</w:t>
            </w:r>
            <w:r>
              <w:t>a</w:t>
            </w:r>
            <w:r w:rsidRPr="00EC7605">
              <w:t xml:space="preserve"> odporúčacieho systému pre turizmus, hlavne </w:t>
            </w:r>
            <w:r>
              <w:t>jeho</w:t>
            </w:r>
            <w:r w:rsidRPr="00EC7605">
              <w:t xml:space="preserve"> používateľského rozhrania pre webový prehliadač ako aj </w:t>
            </w:r>
            <w:proofErr w:type="spellStart"/>
            <w:r w:rsidRPr="00EC7605">
              <w:t>smartphone</w:t>
            </w:r>
            <w:proofErr w:type="spellEnd"/>
            <w:r w:rsidRPr="00EC7605">
              <w:t xml:space="preserve"> s operačným systémom </w:t>
            </w:r>
            <w:proofErr w:type="spellStart"/>
            <w:r w:rsidRPr="00EC7605">
              <w:t>Android</w:t>
            </w:r>
            <w:proofErr w:type="spellEnd"/>
          </w:p>
          <w:p w:rsidR="003C4B7C" w:rsidRDefault="00EC7605" w:rsidP="00EC7605">
            <w:pPr>
              <w:pStyle w:val="Odsekzoznamu"/>
              <w:numPr>
                <w:ilvl w:val="0"/>
                <w:numId w:val="8"/>
              </w:numPr>
            </w:pPr>
            <w:r w:rsidRPr="00EC7605">
              <w:t>anal</w:t>
            </w:r>
            <w:r>
              <w:t>ý</w:t>
            </w:r>
            <w:r w:rsidRPr="00EC7605">
              <w:t>z</w:t>
            </w:r>
            <w:r>
              <w:t>a</w:t>
            </w:r>
            <w:r w:rsidRPr="00EC7605">
              <w:t xml:space="preserve"> a n</w:t>
            </w:r>
            <w:r>
              <w:t>á</w:t>
            </w:r>
            <w:r w:rsidRPr="00EC7605">
              <w:t xml:space="preserve">vrh metódy na </w:t>
            </w:r>
            <w:proofErr w:type="spellStart"/>
            <w:r w:rsidRPr="00EC7605">
              <w:t>serverovskej</w:t>
            </w:r>
            <w:proofErr w:type="spellEnd"/>
            <w:r w:rsidRPr="00EC7605">
              <w:t xml:space="preserve"> strane aplikácie a spôsoby komunikácie medzi serverom a klientom</w:t>
            </w:r>
          </w:p>
          <w:p w:rsidR="00EC7605" w:rsidRDefault="00EC7605" w:rsidP="003C4B7C"/>
          <w:p w:rsidR="003C4B7C" w:rsidRPr="00EE2AAA" w:rsidRDefault="003C4B7C" w:rsidP="003C4B7C">
            <w:pPr>
              <w:rPr>
                <w:b/>
              </w:rPr>
            </w:pPr>
            <w:r w:rsidRPr="00EE2AAA">
              <w:rPr>
                <w:b/>
              </w:rPr>
              <w:t xml:space="preserve">PP 6. Výskum a vývoj metód </w:t>
            </w:r>
            <w:proofErr w:type="spellStart"/>
            <w:r w:rsidRPr="00EE2AAA">
              <w:rPr>
                <w:b/>
              </w:rPr>
              <w:t>geoprocessingu</w:t>
            </w:r>
            <w:proofErr w:type="spellEnd"/>
            <w:r w:rsidRPr="00EE2AAA">
              <w:rPr>
                <w:b/>
              </w:rPr>
              <w:t xml:space="preserve"> v </w:t>
            </w:r>
            <w:proofErr w:type="spellStart"/>
            <w:r w:rsidRPr="00EE2AAA">
              <w:rPr>
                <w:b/>
              </w:rPr>
              <w:t>geopriestorových</w:t>
            </w:r>
            <w:proofErr w:type="spellEnd"/>
            <w:r w:rsidRPr="00EE2AAA">
              <w:rPr>
                <w:b/>
              </w:rPr>
              <w:t xml:space="preserve"> </w:t>
            </w:r>
            <w:proofErr w:type="spellStart"/>
            <w:r w:rsidRPr="00EE2AAA">
              <w:rPr>
                <w:b/>
              </w:rPr>
              <w:t>technológiach</w:t>
            </w:r>
            <w:proofErr w:type="spellEnd"/>
            <w:r w:rsidRPr="00EE2AAA">
              <w:rPr>
                <w:b/>
              </w:rPr>
              <w:t xml:space="preserve"> a </w:t>
            </w:r>
            <w:proofErr w:type="spellStart"/>
            <w:r w:rsidRPr="00EE2AAA">
              <w:rPr>
                <w:b/>
              </w:rPr>
              <w:t>službach</w:t>
            </w:r>
            <w:proofErr w:type="spellEnd"/>
            <w:r w:rsidRPr="00EE2AAA">
              <w:rPr>
                <w:b/>
              </w:rPr>
              <w:t>:</w:t>
            </w:r>
          </w:p>
          <w:p w:rsidR="00EE2AAA" w:rsidRDefault="00EE2AAA" w:rsidP="00EE2AAA">
            <w:pPr>
              <w:pStyle w:val="Odsekzoznamu"/>
              <w:numPr>
                <w:ilvl w:val="0"/>
                <w:numId w:val="9"/>
              </w:numPr>
            </w:pPr>
            <w:r w:rsidRPr="00EE2AAA">
              <w:t>testovanie metód interpolácie dát s vysokou hustotou záznamu, ktoré sa vytvárajú pomocou laserových skenerov</w:t>
            </w:r>
          </w:p>
          <w:p w:rsidR="00EE2AAA" w:rsidRDefault="00EE2AAA" w:rsidP="00EE2AAA">
            <w:pPr>
              <w:pStyle w:val="Odsekzoznamu"/>
              <w:numPr>
                <w:ilvl w:val="0"/>
                <w:numId w:val="9"/>
              </w:numPr>
            </w:pPr>
            <w:r>
              <w:t>t</w:t>
            </w:r>
            <w:r w:rsidRPr="00EE2AAA">
              <w:t>estova</w:t>
            </w:r>
            <w:r>
              <w:t xml:space="preserve">nie </w:t>
            </w:r>
            <w:r w:rsidRPr="00EE2AAA">
              <w:t>2D interpoláci</w:t>
            </w:r>
            <w:r>
              <w:t>e</w:t>
            </w:r>
            <w:r w:rsidRPr="00EE2AAA">
              <w:t xml:space="preserve"> pre dáta z leteckého skeneru a 3D interpoláci</w:t>
            </w:r>
            <w:r>
              <w:t>e</w:t>
            </w:r>
            <w:r w:rsidRPr="00EE2AAA">
              <w:t xml:space="preserve"> pre dáta z </w:t>
            </w:r>
            <w:proofErr w:type="spellStart"/>
            <w:r w:rsidRPr="00EE2AAA">
              <w:t>terestrického</w:t>
            </w:r>
            <w:proofErr w:type="spellEnd"/>
            <w:r w:rsidRPr="00EE2AAA">
              <w:t xml:space="preserve"> skeneru</w:t>
            </w:r>
          </w:p>
          <w:p w:rsidR="003C4B7C" w:rsidRPr="00EE2AAA" w:rsidRDefault="00EE2AAA" w:rsidP="00EE2AAA">
            <w:pPr>
              <w:pStyle w:val="Odsekzoznamu"/>
              <w:numPr>
                <w:ilvl w:val="0"/>
                <w:numId w:val="9"/>
              </w:numPr>
            </w:pPr>
            <w:r>
              <w:t>a</w:t>
            </w:r>
            <w:r w:rsidRPr="00EE2AAA">
              <w:t>plik</w:t>
            </w:r>
            <w:r>
              <w:t xml:space="preserve">ácia </w:t>
            </w:r>
            <w:r w:rsidRPr="00EE2AAA">
              <w:t xml:space="preserve">metód </w:t>
            </w:r>
            <w:proofErr w:type="spellStart"/>
            <w:r w:rsidRPr="00EE2AAA">
              <w:t>morfometrickej</w:t>
            </w:r>
            <w:proofErr w:type="spellEnd"/>
            <w:r w:rsidRPr="00EE2AAA">
              <w:t xml:space="preserve"> analýzy povrchov (2D a aj 3D) a</w:t>
            </w:r>
            <w:r>
              <w:t> </w:t>
            </w:r>
            <w:r w:rsidRPr="00EE2AAA">
              <w:t>pr</w:t>
            </w:r>
            <w:r>
              <w:t>íprava d</w:t>
            </w:r>
            <w:r w:rsidRPr="00EE2AAA">
              <w:t>át pre aplikáciu simulačných modelov povrchového toku vody</w:t>
            </w:r>
          </w:p>
          <w:p w:rsidR="00EE2AAA" w:rsidRDefault="00EE2AAA" w:rsidP="0018056B">
            <w:pPr>
              <w:rPr>
                <w:u w:val="single"/>
              </w:rPr>
            </w:pPr>
          </w:p>
          <w:p w:rsidR="00EE2AAA" w:rsidRDefault="00EE2AAA" w:rsidP="0018056B">
            <w:pPr>
              <w:rPr>
                <w:u w:val="single"/>
              </w:rPr>
            </w:pPr>
          </w:p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892EE8" w:rsidRDefault="00892EE8" w:rsidP="003C4B7C">
            <w:pPr>
              <w:rPr>
                <w:b/>
              </w:rPr>
            </w:pPr>
          </w:p>
          <w:p w:rsidR="003C4B7C" w:rsidRPr="00892EE8" w:rsidRDefault="003C4B7C" w:rsidP="003C4B7C">
            <w:pPr>
              <w:rPr>
                <w:b/>
              </w:rPr>
            </w:pPr>
            <w:r w:rsidRPr="00892EE8">
              <w:rPr>
                <w:b/>
              </w:rPr>
              <w:t>PP 1. Aplikovaný výskum v oblasti paralelného a distribuovaného počítania:</w:t>
            </w:r>
          </w:p>
          <w:p w:rsidR="003C4B7C" w:rsidRDefault="00892EE8" w:rsidP="003C4B7C">
            <w:r w:rsidRPr="00892EE8">
              <w:t xml:space="preserve">V monitorovacom období prebiehali v rámci PP1 činnosti zamerané na vývoj softvéru pre paralelné počítanie a testovanie ARC softvéru. V rámci zabezpečenia prevádzky medzinárodného certifikovaného uzla boli realizované úlohy týkajúce sa jeho optimalizácie, prevádzky a údržby. Realizovali sme aj činnosti zamerané na podporu využitia existujúcej </w:t>
            </w:r>
            <w:proofErr w:type="spellStart"/>
            <w:r w:rsidRPr="00892EE8">
              <w:t>gridovej</w:t>
            </w:r>
            <w:proofErr w:type="spellEnd"/>
            <w:r w:rsidRPr="00892EE8">
              <w:t xml:space="preserve"> infraštruktúry.</w:t>
            </w:r>
          </w:p>
          <w:p w:rsidR="00892EE8" w:rsidRDefault="00892EE8" w:rsidP="003C4B7C"/>
          <w:p w:rsidR="003C4B7C" w:rsidRPr="00237530" w:rsidRDefault="003C4B7C" w:rsidP="003C4B7C">
            <w:pPr>
              <w:rPr>
                <w:b/>
              </w:rPr>
            </w:pPr>
            <w:r w:rsidRPr="00237530">
              <w:rPr>
                <w:b/>
              </w:rPr>
              <w:t>PP 2. Vývoj nástrojov a metód pre virtuálnu kolaboráciu:</w:t>
            </w:r>
          </w:p>
          <w:p w:rsidR="000A69A6" w:rsidRPr="000A69A6" w:rsidRDefault="000A69A6" w:rsidP="00237530">
            <w:pPr>
              <w:rPr>
                <w:u w:val="single"/>
              </w:rPr>
            </w:pPr>
            <w:r w:rsidRPr="000A69A6">
              <w:rPr>
                <w:u w:val="single"/>
              </w:rPr>
              <w:t>EVO/</w:t>
            </w:r>
            <w:proofErr w:type="spellStart"/>
            <w:r w:rsidRPr="000A69A6">
              <w:rPr>
                <w:u w:val="single"/>
              </w:rPr>
              <w:t>SeeVogh</w:t>
            </w:r>
            <w:proofErr w:type="spellEnd"/>
            <w:r w:rsidRPr="000A69A6">
              <w:rPr>
                <w:u w:val="single"/>
              </w:rPr>
              <w:t>:</w:t>
            </w:r>
          </w:p>
          <w:p w:rsidR="00237530" w:rsidRDefault="00237530" w:rsidP="00237530">
            <w:r>
              <w:lastRenderedPageBreak/>
              <w:t xml:space="preserve">V nadväznosti na vývoj v predchádzajúcom období boli dokončené práce na beta verzii </w:t>
            </w:r>
            <w:proofErr w:type="spellStart"/>
            <w:r>
              <w:t>WebRTC</w:t>
            </w:r>
            <w:proofErr w:type="spellEnd"/>
            <w:r>
              <w:t xml:space="preserve"> klientskej aplikácií. Ďalej sme navrhli a vyvinuli novú funkcionalitu </w:t>
            </w:r>
            <w:proofErr w:type="spellStart"/>
            <w:r>
              <w:t>zdieľania</w:t>
            </w:r>
            <w:proofErr w:type="spellEnd"/>
            <w:r>
              <w:t xml:space="preserve"> pracovnej plochy vysielanej z </w:t>
            </w:r>
            <w:proofErr w:type="spellStart"/>
            <w:r>
              <w:t>WebRTC</w:t>
            </w:r>
            <w:proofErr w:type="spellEnd"/>
            <w:r>
              <w:t xml:space="preserve"> klienta. Momentálne prebieha testovanie a odlaďovanie chýb </w:t>
            </w:r>
            <w:proofErr w:type="spellStart"/>
            <w:r>
              <w:t>WebRTC</w:t>
            </w:r>
            <w:proofErr w:type="spellEnd"/>
            <w:r>
              <w:t xml:space="preserve"> koncovej  klientskej aplikácie.</w:t>
            </w:r>
          </w:p>
          <w:p w:rsidR="003C4B7C" w:rsidRDefault="00237530" w:rsidP="00237530">
            <w:r>
              <w:t>V klientskej video aplikácii sme vylepšili zobrazenie zoskupených (</w:t>
            </w:r>
            <w:proofErr w:type="spellStart"/>
            <w:r>
              <w:t>zgrupených</w:t>
            </w:r>
            <w:proofErr w:type="spellEnd"/>
            <w:r>
              <w:t xml:space="preserve">) videí od jedného účastníka spoločne so </w:t>
            </w:r>
            <w:proofErr w:type="spellStart"/>
            <w:r>
              <w:t>zdieľanou</w:t>
            </w:r>
            <w:proofErr w:type="spellEnd"/>
            <w:r>
              <w:t xml:space="preserve"> plochou, kde sme implementovali </w:t>
            </w:r>
            <w:proofErr w:type="spellStart"/>
            <w:r>
              <w:t>Drag&amp;Drop</w:t>
            </w:r>
            <w:proofErr w:type="spellEnd"/>
            <w:r>
              <w:t xml:space="preserve"> (premiestňovanie myšou) mechanizmus na malé videa v PIP (Picture in Picture) usporiadaní. Taktiež sme vylepšili a hlavne zrýchlili proces automatického zgrupovania videí a </w:t>
            </w:r>
            <w:proofErr w:type="spellStart"/>
            <w:r>
              <w:t>zdieľanej</w:t>
            </w:r>
            <w:proofErr w:type="spellEnd"/>
            <w:r>
              <w:t xml:space="preserve"> plochy od vzdialených účastníkov.</w:t>
            </w:r>
          </w:p>
          <w:p w:rsidR="00237530" w:rsidRPr="000A69A6" w:rsidRDefault="000A69A6" w:rsidP="003C4B7C">
            <w:pPr>
              <w:rPr>
                <w:u w:val="single"/>
              </w:rPr>
            </w:pPr>
            <w:proofErr w:type="spellStart"/>
            <w:r w:rsidRPr="000A69A6">
              <w:rPr>
                <w:u w:val="single"/>
              </w:rPr>
              <w:t>V-aréna</w:t>
            </w:r>
            <w:proofErr w:type="spellEnd"/>
            <w:r w:rsidRPr="000A69A6">
              <w:rPr>
                <w:u w:val="single"/>
              </w:rPr>
              <w:t>:</w:t>
            </w:r>
          </w:p>
          <w:p w:rsidR="000A69A6" w:rsidRDefault="000A69A6" w:rsidP="000A69A6">
            <w:r>
              <w:t xml:space="preserve">Bol odštartovaný vývoj nástrojov sociálnej interakcie  a jej implementáciu do systému </w:t>
            </w:r>
            <w:proofErr w:type="spellStart"/>
            <w:r>
              <w:t>V-aréna</w:t>
            </w:r>
            <w:proofErr w:type="spellEnd"/>
            <w:r>
              <w:t xml:space="preserve">. Dizajn systému: </w:t>
            </w:r>
          </w:p>
          <w:p w:rsidR="00CF32AD" w:rsidRDefault="000A69A6" w:rsidP="000A69A6">
            <w:pPr>
              <w:pStyle w:val="Odsekzoznamu"/>
              <w:numPr>
                <w:ilvl w:val="0"/>
                <w:numId w:val="5"/>
              </w:numPr>
            </w:pPr>
            <w:r>
              <w:t xml:space="preserve">Súčasný stav: Manažovanie výskumno-vzdelávacích aktivít v priestore </w:t>
            </w:r>
            <w:proofErr w:type="spellStart"/>
            <w:r>
              <w:t>V-aréna</w:t>
            </w:r>
            <w:proofErr w:type="spellEnd"/>
            <w:r>
              <w:t xml:space="preserve"> sa realizuje cez "Osobné a </w:t>
            </w:r>
            <w:proofErr w:type="spellStart"/>
            <w:r>
              <w:t>Komunitné</w:t>
            </w:r>
            <w:proofErr w:type="spellEnd"/>
            <w:r>
              <w:t xml:space="preserve"> schémy". Editácia schémy viacerými </w:t>
            </w:r>
            <w:proofErr w:type="spellStart"/>
            <w:r>
              <w:t>klientami</w:t>
            </w:r>
            <w:proofErr w:type="spellEnd"/>
            <w:r>
              <w:t xml:space="preserve"> si vyžaduje jej uzamykanie pre iných, čo je neefektívne. Úlohou je nájsť také riešenie, ktoré nebude požadovať jej uzamykanie, bude jednoduché a hlavne jednoducho, v krátkom časovom období realizovateľné </w:t>
            </w:r>
          </w:p>
          <w:p w:rsidR="000A69A6" w:rsidRDefault="000A69A6" w:rsidP="000A69A6">
            <w:pPr>
              <w:pStyle w:val="Odsekzoznamu"/>
              <w:numPr>
                <w:ilvl w:val="0"/>
                <w:numId w:val="5"/>
              </w:numPr>
            </w:pPr>
            <w:r>
              <w:t xml:space="preserve">Nové riešenie: Každému klientovi sa vytvorí unikátna "privátna " schéma, kde klient rieši aktuálne problémy. Vzájomná interakcia medzi projektom a riešiteľmi sa bude realizovať formou zasielania a potvrdzovania štandardných správ </w:t>
            </w:r>
            <w:proofErr w:type="spellStart"/>
            <w:r>
              <w:t>V-arény</w:t>
            </w:r>
            <w:proofErr w:type="spellEnd"/>
            <w:r>
              <w:t xml:space="preserve">. V projektovej schéme sa označí časť schémy ako </w:t>
            </w:r>
            <w:proofErr w:type="spellStart"/>
            <w:r>
              <w:t>sub-projekt</w:t>
            </w:r>
            <w:proofErr w:type="spellEnd"/>
            <w:r>
              <w:t xml:space="preserve">, ktorý sa pošle potenciálnemu riešiteľovi. Ak </w:t>
            </w:r>
            <w:proofErr w:type="spellStart"/>
            <w:r>
              <w:t>sub-projekt</w:t>
            </w:r>
            <w:proofErr w:type="spellEnd"/>
            <w:r>
              <w:t xml:space="preserve"> riešiteľ potvrdí, zaslaná časť projektovej schémy sa napojí na privátnu schému klienta, ktorá sa následne rieši. Každý </w:t>
            </w:r>
            <w:proofErr w:type="spellStart"/>
            <w:r>
              <w:t>sub-projekt</w:t>
            </w:r>
            <w:proofErr w:type="spellEnd"/>
            <w:r>
              <w:t xml:space="preserve"> sa môže v závislosti na jeho zložitosti vetviť na ďalšie </w:t>
            </w:r>
            <w:proofErr w:type="spellStart"/>
            <w:r>
              <w:t>sub-projekty</w:t>
            </w:r>
            <w:proofErr w:type="spellEnd"/>
            <w:r>
              <w:t xml:space="preserve"> a inicializovať aktiváciu ďalších expertov do riešenia problému. Po vyriešení problému zadávateľ potvrdí splnenie problému a prevzatie riešenia. Tento spôsob je efektívny a napĺňa ideu distribuovanej sociálnej interakcie v priestore aktivít.</w:t>
            </w:r>
          </w:p>
          <w:p w:rsidR="003462B4" w:rsidRDefault="003462B4" w:rsidP="003C4B7C">
            <w:pPr>
              <w:rPr>
                <w:b/>
              </w:rPr>
            </w:pPr>
          </w:p>
          <w:p w:rsidR="003C4B7C" w:rsidRPr="00CF32AD" w:rsidRDefault="003C4B7C" w:rsidP="003C4B7C">
            <w:pPr>
              <w:rPr>
                <w:b/>
              </w:rPr>
            </w:pPr>
            <w:r w:rsidRPr="00CF32AD">
              <w:rPr>
                <w:b/>
              </w:rPr>
              <w:t>PP 3. Výskum v oblasti inovatívnych interakcií človek-počítač:</w:t>
            </w:r>
          </w:p>
          <w:p w:rsidR="00CF32AD" w:rsidRDefault="00CF32AD" w:rsidP="00CF32AD">
            <w:r>
              <w:t xml:space="preserve">Na dátach z </w:t>
            </w:r>
            <w:proofErr w:type="spellStart"/>
            <w:r>
              <w:t>Harvard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pokračujú analýzy ktoré sú zamerané na mapovanie ľudského mozgu, konkrétne oblastí zabezpečujúcich spracovanie sluchovej priestorovej informácie o vzdialenosti objektov. V súčasnosti prebieha aplikácia viacerých analytických postupov, napr.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modelling</w:t>
            </w:r>
            <w:proofErr w:type="spellEnd"/>
            <w:r>
              <w:t xml:space="preserve">. Súčasne boli nazberané (a na konferencii prezentované) </w:t>
            </w:r>
            <w:proofErr w:type="spellStart"/>
            <w:r>
              <w:t>behaviorálne</w:t>
            </w:r>
            <w:proofErr w:type="spellEnd"/>
            <w:r>
              <w:t xml:space="preserve"> dáta o sluchovom vnímaní vzdialenosti (Eštočinová </w:t>
            </w:r>
            <w:proofErr w:type="spellStart"/>
            <w:r>
              <w:t>et</w:t>
            </w:r>
            <w:proofErr w:type="spellEnd"/>
            <w:r>
              <w:t xml:space="preserve"> al., 2015). Z týchto dát sa v súčasnosti pripravuje článok.</w:t>
            </w:r>
          </w:p>
          <w:p w:rsidR="00CF32AD" w:rsidRDefault="00CF32AD" w:rsidP="003C4B7C"/>
          <w:p w:rsidR="003C4B7C" w:rsidRPr="00372E0A" w:rsidRDefault="003C4B7C" w:rsidP="003C4B7C">
            <w:pPr>
              <w:rPr>
                <w:b/>
              </w:rPr>
            </w:pPr>
            <w:r w:rsidRPr="00372E0A">
              <w:rPr>
                <w:b/>
              </w:rPr>
              <w:t>PP 4. Vývoj informačných systémov pre podporu riadenia vzdelávania, vedy a výskumu:</w:t>
            </w:r>
          </w:p>
          <w:p w:rsidR="00372E0A" w:rsidRDefault="00372E0A" w:rsidP="00372E0A">
            <w:r>
              <w:t xml:space="preserve">Vytvorená podpora procesu odhaľovania chybne evidovaných záznamov o štúdiu a študentoch. Vytvorili sme a overovali pomocné nástroje pre porovnávanie rozsiahlych dát v XML štruktúre využitím XML DB. Pripravili sme podporné nástroje pre tvorbu rozdielových súborov resp. identifikovanie konfliktných záznamov. </w:t>
            </w:r>
          </w:p>
          <w:p w:rsidR="003C4B7C" w:rsidRDefault="00372E0A" w:rsidP="00372E0A">
            <w:r>
              <w:t>Aplikovali sme SAML2 autentifikáciu do procesu vývoja AiS2 s využitím komponentov pre produkčné prostredie za účelom testovania existujúceho riešenia v pred produkčnej prevádzke.</w:t>
            </w:r>
          </w:p>
          <w:p w:rsidR="00372E0A" w:rsidRDefault="00372E0A" w:rsidP="003C4B7C"/>
          <w:p w:rsidR="003C4B7C" w:rsidRPr="00EE2AAA" w:rsidRDefault="003C4B7C" w:rsidP="003C4B7C">
            <w:pPr>
              <w:rPr>
                <w:b/>
              </w:rPr>
            </w:pPr>
            <w:r w:rsidRPr="00EE2AAA">
              <w:rPr>
                <w:b/>
              </w:rPr>
              <w:t>PP 5. Výskum v oblasti reprezentácie a analýzy dát:</w:t>
            </w:r>
          </w:p>
          <w:p w:rsidR="00EE2AAA" w:rsidRDefault="00EE2AAA" w:rsidP="00EE2AAA">
            <w:r>
              <w:t xml:space="preserve">Pokračovali sme vo vývoji odporúčacieho systému pre turizmus, kde sme sa venovali </w:t>
            </w:r>
            <w:r>
              <w:lastRenderedPageBreak/>
              <w:t xml:space="preserve">hlavne vývoju používateľského rozhrania pre webový prehliadač ako aj </w:t>
            </w:r>
            <w:proofErr w:type="spellStart"/>
            <w:r>
              <w:t>smartphone</w:t>
            </w:r>
            <w:proofErr w:type="spellEnd"/>
            <w:r>
              <w:t xml:space="preserve"> s operačným systémom </w:t>
            </w:r>
            <w:proofErr w:type="spellStart"/>
            <w:r>
              <w:t>Android</w:t>
            </w:r>
            <w:proofErr w:type="spellEnd"/>
            <w:r>
              <w:t xml:space="preserve">. Ďalej sme analyzovali a navrhli metódy na </w:t>
            </w:r>
            <w:proofErr w:type="spellStart"/>
            <w:r>
              <w:t>serverovskej</w:t>
            </w:r>
            <w:proofErr w:type="spellEnd"/>
            <w:r>
              <w:t xml:space="preserve"> strane aplikácie a spôsoby komunikácie medzi serverom a klientom, </w:t>
            </w:r>
            <w:proofErr w:type="spellStart"/>
            <w:r>
              <w:t>ktore</w:t>
            </w:r>
            <w:proofErr w:type="spellEnd"/>
            <w:r>
              <w:t xml:space="preserve"> plánujeme v </w:t>
            </w:r>
            <w:proofErr w:type="spellStart"/>
            <w:r>
              <w:t>ďaľšej</w:t>
            </w:r>
            <w:proofErr w:type="spellEnd"/>
            <w:r>
              <w:t xml:space="preserve"> etape projektu implementovať.</w:t>
            </w:r>
          </w:p>
          <w:p w:rsidR="00EE2AAA" w:rsidRDefault="00EE2AAA" w:rsidP="00EE2AAA"/>
          <w:p w:rsidR="003C4B7C" w:rsidRDefault="00EE2AAA" w:rsidP="00EE2AAA">
            <w:r>
              <w:t>Pre čiastkový výstup "</w:t>
            </w:r>
            <w:proofErr w:type="spellStart"/>
            <w:r>
              <w:t>Metakatalóg</w:t>
            </w:r>
            <w:proofErr w:type="spellEnd"/>
            <w:r>
              <w:t xml:space="preserve"> produktov internetových obchodov", sme implementovali a otestovali metódy identifikácie a reprezentácie atribútových dát z viacerých webových portálov a metódy na ich automatické spracovanie a extrahovanie. Realizovali sme výskum v oblasti zabezpečenia a autorizácie k webovým službám pomocou normy </w:t>
            </w:r>
            <w:proofErr w:type="spellStart"/>
            <w:r>
              <w:t>WS-Security</w:t>
            </w:r>
            <w:proofErr w:type="spellEnd"/>
            <w:r>
              <w:t xml:space="preserve"> so zameraním na webové služby SOAP.</w:t>
            </w:r>
          </w:p>
          <w:p w:rsidR="00EC7605" w:rsidRDefault="00EC7605" w:rsidP="003C4B7C"/>
          <w:p w:rsidR="003C4B7C" w:rsidRPr="00842186" w:rsidRDefault="003C4B7C" w:rsidP="003C4B7C">
            <w:pPr>
              <w:rPr>
                <w:b/>
              </w:rPr>
            </w:pPr>
            <w:r w:rsidRPr="00842186">
              <w:rPr>
                <w:b/>
              </w:rPr>
              <w:t xml:space="preserve">PP 6. Výskum a vývoj metód </w:t>
            </w:r>
            <w:proofErr w:type="spellStart"/>
            <w:r w:rsidRPr="00842186">
              <w:rPr>
                <w:b/>
              </w:rPr>
              <w:t>geoprocessingu</w:t>
            </w:r>
            <w:proofErr w:type="spellEnd"/>
            <w:r w:rsidRPr="00842186">
              <w:rPr>
                <w:b/>
              </w:rPr>
              <w:t xml:space="preserve"> v </w:t>
            </w:r>
            <w:proofErr w:type="spellStart"/>
            <w:r w:rsidRPr="00842186">
              <w:rPr>
                <w:b/>
              </w:rPr>
              <w:t>geopriestorových</w:t>
            </w:r>
            <w:proofErr w:type="spellEnd"/>
            <w:r w:rsidRPr="00842186">
              <w:rPr>
                <w:b/>
              </w:rPr>
              <w:t xml:space="preserve"> </w:t>
            </w:r>
            <w:proofErr w:type="spellStart"/>
            <w:r w:rsidRPr="00842186">
              <w:rPr>
                <w:b/>
              </w:rPr>
              <w:t>technológiach</w:t>
            </w:r>
            <w:proofErr w:type="spellEnd"/>
            <w:r w:rsidRPr="00842186">
              <w:rPr>
                <w:b/>
              </w:rPr>
              <w:t xml:space="preserve"> a </w:t>
            </w:r>
            <w:proofErr w:type="spellStart"/>
            <w:r w:rsidRPr="00842186">
              <w:rPr>
                <w:b/>
              </w:rPr>
              <w:t>službach</w:t>
            </w:r>
            <w:proofErr w:type="spellEnd"/>
            <w:r w:rsidRPr="00842186">
              <w:rPr>
                <w:b/>
              </w:rPr>
              <w:t>:</w:t>
            </w:r>
          </w:p>
          <w:p w:rsidR="003C4B7C" w:rsidRPr="00842186" w:rsidRDefault="00842186" w:rsidP="00204800">
            <w:r w:rsidRPr="00842186">
              <w:t xml:space="preserve">Odborné aktivity sa sústredili na testovanie metód interpolácie dát s vysokou hustotou záznamu, ktoré sa vytvárajú pomocou laserových skenerov. Testovali sme jednak 2D interpoláciu pre dáta z leteckého skeneru a jednak 3D interpoláciu pre dáta z </w:t>
            </w:r>
            <w:proofErr w:type="spellStart"/>
            <w:r w:rsidRPr="00842186">
              <w:t>terestrického</w:t>
            </w:r>
            <w:proofErr w:type="spellEnd"/>
            <w:r w:rsidRPr="00842186">
              <w:t xml:space="preserve"> skeneru na príklade dát z jaskyne pre tvorbu digitálnych modelov reliéfu a 3D modelov jaskyne. Aplikovali sme metódy </w:t>
            </w:r>
            <w:proofErr w:type="spellStart"/>
            <w:r w:rsidRPr="00842186">
              <w:t>morfometrickej</w:t>
            </w:r>
            <w:proofErr w:type="spellEnd"/>
            <w:r w:rsidRPr="00842186">
              <w:t xml:space="preserve"> analýzy povrchov (2D a aj 3D) a pripravili sme dáta pre aplikáciu simulačných modelov povrchového toku vody. Zrealizovali sme inštalácie a nastavenie softvérových prostredí (Linux, GRASS) pre potreby distribuovaného počítania a zrealizovali sme práce na optimalizácii parametrického nastavenia interpolačných modulov pre spracovanie masívnych </w:t>
            </w:r>
            <w:proofErr w:type="spellStart"/>
            <w:r w:rsidRPr="00842186">
              <w:t>datasetov</w:t>
            </w:r>
            <w:proofErr w:type="spellEnd"/>
            <w:r w:rsidRPr="00842186">
              <w:t xml:space="preserve"> pomocou </w:t>
            </w:r>
            <w:proofErr w:type="spellStart"/>
            <w:r w:rsidRPr="00842186">
              <w:t>open-source</w:t>
            </w:r>
            <w:proofErr w:type="spellEnd"/>
            <w:r w:rsidRPr="00842186">
              <w:t xml:space="preserve"> </w:t>
            </w:r>
            <w:proofErr w:type="spellStart"/>
            <w:r w:rsidRPr="00842186">
              <w:t>GIS-u</w:t>
            </w:r>
            <w:proofErr w:type="spellEnd"/>
            <w:r w:rsidRPr="00842186">
              <w:t xml:space="preserve"> GRASS a tiež práce na tvorbe dávkového spracovania komplexnejších úloh ako základu pre tvorbu inteligentného rozhrania zložitejších výpočtových úloh.</w:t>
            </w:r>
          </w:p>
          <w:p w:rsidR="00EE2AAA" w:rsidRDefault="00EE2AA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0A6561" w:rsidP="005F0BD5">
            <w:r>
              <w:t>Dosiahnuté výsledky jednotlivých PP sú popísané vyššie v časti „</w:t>
            </w:r>
            <w:r w:rsidRPr="000A6561">
              <w:t>Vecný pokrok v realizácii aktivity podľa PP</w:t>
            </w:r>
            <w:r>
              <w:t>“. Okrem vyššie spomenutých výsledkov boli dosiahnuté dohody so spoločnosťami DCORE a </w:t>
            </w:r>
            <w:proofErr w:type="spellStart"/>
            <w:r>
              <w:t>Photomap</w:t>
            </w:r>
            <w:proofErr w:type="spellEnd"/>
            <w:r>
              <w:t xml:space="preserve"> o zriadení spoločných pracovísk.</w:t>
            </w:r>
          </w:p>
          <w:p w:rsidR="000A6561" w:rsidRDefault="000A6561" w:rsidP="005F0BD5"/>
          <w:p w:rsid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D27CD1" w:rsidRPr="00D27CD1" w:rsidRDefault="00D27CD1" w:rsidP="00204800">
            <w:r w:rsidRPr="00D27CD1">
              <w:t xml:space="preserve">Vzhľadom na neskorú dodávku IKT zariadení nebol vyvíjaný </w:t>
            </w:r>
            <w:r>
              <w:t xml:space="preserve">softvér otestovaný na všetkých plánovaných platformách. Po dodaní zariadení a zrealizovaní testov môže dôjsť </w:t>
            </w:r>
            <w:r w:rsidR="00785ED7">
              <w:t xml:space="preserve">ku </w:t>
            </w:r>
            <w:r w:rsidR="00785ED7" w:rsidRPr="00785ED7">
              <w:t>koncentrácii úloh do posledných mesiacov riešenia projektu</w:t>
            </w:r>
            <w:r w:rsidR="00785ED7">
              <w:t>.</w:t>
            </w:r>
          </w:p>
          <w:p w:rsidR="00204800" w:rsidRDefault="00204800" w:rsidP="005F0BD5"/>
          <w:p w:rsid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785ED7" w:rsidRPr="00785ED7" w:rsidRDefault="00785ED7" w:rsidP="00204800">
            <w:r w:rsidRPr="00785ED7">
              <w:t>Opakovanie VO na IKT.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3.7 Pilotné projekty PU v Prešove v odbore Environmentálne inžinierstvo</w:t>
            </w:r>
          </w:p>
          <w:p w:rsidR="00E12A9A" w:rsidRPr="006D6EB3" w:rsidRDefault="00E12A9A" w:rsidP="005F0BD5">
            <w:r w:rsidRPr="00E12A9A">
              <w:t xml:space="preserve">(prof. RNDr. Marián </w:t>
            </w:r>
            <w:proofErr w:type="spellStart"/>
            <w:r w:rsidRPr="00E12A9A">
              <w:t>Reiffers</w:t>
            </w:r>
            <w:proofErr w:type="spellEnd"/>
            <w:r w:rsidRPr="00E12A9A">
              <w:t>, DrSc.)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 xml:space="preserve">k je realizácia aktivít v omeškaní, je potrebné uviesť dôvody omeškania a aké boli </w:t>
            </w:r>
            <w:r w:rsidRPr="00204800">
              <w:rPr>
                <w:u w:val="single"/>
              </w:rPr>
              <w:lastRenderedPageBreak/>
              <w:t>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bottom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lastRenderedPageBreak/>
              <w:t>Podporné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>
              <w:t>Riadenie projektu</w:t>
            </w:r>
          </w:p>
        </w:tc>
        <w:tc>
          <w:tcPr>
            <w:tcW w:w="7830" w:type="dxa"/>
          </w:tcPr>
          <w:p w:rsidR="00BA5185" w:rsidRDefault="00BA5185" w:rsidP="005F0BD5">
            <w:r>
              <w:t xml:space="preserve">Okrem štandardných činností spojených s riadením projektu </w:t>
            </w:r>
            <w:r w:rsidR="00041D84">
              <w:t>boli realizované aj nasledujúce činnosti:</w:t>
            </w:r>
          </w:p>
          <w:p w:rsidR="00041D84" w:rsidRDefault="00041D84" w:rsidP="00041D84">
            <w:pPr>
              <w:pStyle w:val="Odsekzoznamu"/>
              <w:numPr>
                <w:ilvl w:val="0"/>
                <w:numId w:val="10"/>
              </w:numPr>
            </w:pPr>
            <w:r>
              <w:t>Stretnutia a rokovania s dodávateľom materiálov týkajúcich sa publicity projektu, riešenie dizajnu jednotlivých dodávaných položiek.</w:t>
            </w:r>
          </w:p>
          <w:p w:rsidR="00041D84" w:rsidRDefault="00041D84" w:rsidP="00041D84">
            <w:pPr>
              <w:pStyle w:val="Odsekzoznamu"/>
              <w:numPr>
                <w:ilvl w:val="0"/>
                <w:numId w:val="10"/>
              </w:numPr>
            </w:pPr>
            <w:r>
              <w:t>Stretnutia a rokovania s dodávateľom IKT a softvéru ohľadom dodania požadovaných zariadení, hľadanie alternatívnych modelov pre zariadenia ktoré už výrobca prestal vyrábať</w:t>
            </w:r>
            <w:r w:rsidR="00353F1A">
              <w:t>.</w:t>
            </w:r>
          </w:p>
          <w:p w:rsidR="00041D84" w:rsidRDefault="00353F1A" w:rsidP="00041D84">
            <w:pPr>
              <w:pStyle w:val="Odsekzoznamu"/>
              <w:numPr>
                <w:ilvl w:val="0"/>
                <w:numId w:val="10"/>
              </w:numPr>
            </w:pPr>
            <w:r>
              <w:t xml:space="preserve">Organizácia sympózia venovaného </w:t>
            </w:r>
            <w:proofErr w:type="spellStart"/>
            <w:r>
              <w:t>start-upom</w:t>
            </w:r>
            <w:proofErr w:type="spellEnd"/>
            <w:r>
              <w:t xml:space="preserve"> na univerzite, komunikácia so zahraničnými výskumníkmi ktorí vystúpia na sympóziu.</w:t>
            </w:r>
          </w:p>
          <w:p w:rsidR="00353F1A" w:rsidRDefault="00353F1A" w:rsidP="00041D84">
            <w:pPr>
              <w:pStyle w:val="Odsekzoznamu"/>
              <w:numPr>
                <w:ilvl w:val="0"/>
                <w:numId w:val="10"/>
              </w:numPr>
            </w:pPr>
            <w:r>
              <w:t>Príprava objednávok na IKT a softvér.</w:t>
            </w:r>
          </w:p>
          <w:p w:rsidR="00353F1A" w:rsidRDefault="00353F1A" w:rsidP="00041D84">
            <w:pPr>
              <w:pStyle w:val="Odsekzoznamu"/>
              <w:numPr>
                <w:ilvl w:val="0"/>
                <w:numId w:val="10"/>
              </w:numPr>
            </w:pPr>
            <w:r>
              <w:t>Komunikácia s dodávateľom ohľadom inštalácie dodaných softvérov – licencie, prístupové kódy, registrácie, ...</w:t>
            </w:r>
          </w:p>
          <w:p w:rsidR="00353F1A" w:rsidRDefault="00353F1A" w:rsidP="00041D84">
            <w:pPr>
              <w:pStyle w:val="Odsekzoznamu"/>
              <w:numPr>
                <w:ilvl w:val="0"/>
                <w:numId w:val="10"/>
              </w:numPr>
            </w:pPr>
            <w:r>
              <w:t>Vypracovanie 4. monitorovacej správy.</w:t>
            </w:r>
          </w:p>
          <w:p w:rsidR="00353F1A" w:rsidRDefault="00353F1A" w:rsidP="00041D84">
            <w:pPr>
              <w:pStyle w:val="Odsekzoznamu"/>
              <w:numPr>
                <w:ilvl w:val="0"/>
                <w:numId w:val="10"/>
              </w:numPr>
            </w:pPr>
            <w:r>
              <w:t>Riešenie poistenia nakupovaného majetku.</w:t>
            </w:r>
          </w:p>
          <w:p w:rsidR="00353F1A" w:rsidRDefault="00353F1A" w:rsidP="00041D84">
            <w:pPr>
              <w:pStyle w:val="Odsekzoznamu"/>
              <w:numPr>
                <w:ilvl w:val="0"/>
                <w:numId w:val="10"/>
              </w:numPr>
            </w:pPr>
            <w:r>
              <w:t xml:space="preserve">Zabezpečenie prípravy staveniska firmou </w:t>
            </w:r>
            <w:proofErr w:type="spellStart"/>
            <w:r>
              <w:t>Stavbyt</w:t>
            </w:r>
            <w:proofErr w:type="spellEnd"/>
            <w:r>
              <w:t xml:space="preserve"> s.r.o., stretnutie so stavbyvedúcim a stavebným dozorom</w:t>
            </w:r>
            <w:r w:rsidR="00FB13A5">
              <w:t>.</w:t>
            </w:r>
          </w:p>
          <w:p w:rsidR="00FB13A5" w:rsidRDefault="00FB13A5" w:rsidP="00041D84">
            <w:pPr>
              <w:pStyle w:val="Odsekzoznamu"/>
              <w:numPr>
                <w:ilvl w:val="0"/>
                <w:numId w:val="10"/>
              </w:numPr>
            </w:pPr>
            <w:r>
              <w:t>Riešenie spôsobu ubytovania počas zahraničných pracovných ciest: EKS, rámcová zmluva, prieskum trhu.</w:t>
            </w:r>
          </w:p>
          <w:p w:rsidR="00EA150F" w:rsidRDefault="00EA150F" w:rsidP="005F0BD5"/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>Publicita a informovanosť</w:t>
            </w:r>
          </w:p>
        </w:tc>
        <w:tc>
          <w:tcPr>
            <w:tcW w:w="7830" w:type="dxa"/>
          </w:tcPr>
          <w:p w:rsidR="00EA150F" w:rsidRDefault="009A6D2A" w:rsidP="005F0BD5">
            <w:r>
              <w:t>Organizácia „</w:t>
            </w:r>
            <w:proofErr w:type="spellStart"/>
            <w:r w:rsidRPr="009A6D2A">
              <w:t>Symposium</w:t>
            </w:r>
            <w:proofErr w:type="spellEnd"/>
            <w:r w:rsidRPr="009A6D2A">
              <w:t xml:space="preserve"> on </w:t>
            </w:r>
            <w:proofErr w:type="spellStart"/>
            <w:r w:rsidRPr="009A6D2A">
              <w:t>university</w:t>
            </w:r>
            <w:proofErr w:type="spellEnd"/>
            <w:r w:rsidRPr="009A6D2A">
              <w:t xml:space="preserve"> </w:t>
            </w:r>
            <w:proofErr w:type="spellStart"/>
            <w:r w:rsidRPr="009A6D2A">
              <w:t>spin-offs</w:t>
            </w:r>
            <w:proofErr w:type="spellEnd"/>
            <w:r w:rsidRPr="009A6D2A">
              <w:t xml:space="preserve"> and </w:t>
            </w:r>
            <w:proofErr w:type="spellStart"/>
            <w:r w:rsidRPr="009A6D2A">
              <w:t>start-up</w:t>
            </w:r>
            <w:proofErr w:type="spellEnd"/>
            <w:r w:rsidRPr="009A6D2A">
              <w:t xml:space="preserve"> </w:t>
            </w:r>
            <w:proofErr w:type="spellStart"/>
            <w:r w:rsidRPr="009A6D2A">
              <w:t>companies</w:t>
            </w:r>
            <w:proofErr w:type="spellEnd"/>
            <w:r>
              <w:t xml:space="preserve">“ </w:t>
            </w:r>
            <w:hyperlink r:id="rId15" w:history="1">
              <w:r w:rsidRPr="00D406E4">
                <w:rPr>
                  <w:rStyle w:val="Hypertextovprepojenie"/>
                </w:rPr>
                <w:t>http://pcl.ics.upjs.sk/symposium2015/</w:t>
              </w:r>
            </w:hyperlink>
          </w:p>
          <w:p w:rsidR="009A6D2A" w:rsidRDefault="009A6D2A" w:rsidP="005F0BD5"/>
          <w:p w:rsidR="009A6D2A" w:rsidRDefault="009A6D2A" w:rsidP="009A6D2A">
            <w:r>
              <w:t xml:space="preserve">Publikácia článku Note on </w:t>
            </w:r>
            <w:proofErr w:type="spellStart"/>
            <w:r>
              <w:t>coloring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double</w:t>
            </w:r>
            <w:proofErr w:type="spellEnd"/>
            <w:r>
              <w:t xml:space="preserve"> disk </w:t>
            </w:r>
            <w:proofErr w:type="spellStart"/>
            <w:r>
              <w:t>graphs</w:t>
            </w:r>
            <w:proofErr w:type="spellEnd"/>
            <w:r>
              <w:t xml:space="preserve">, Jaka </w:t>
            </w:r>
            <w:proofErr w:type="spellStart"/>
            <w:r>
              <w:t>Kranjc</w:t>
            </w:r>
            <w:proofErr w:type="spellEnd"/>
            <w:r>
              <w:t xml:space="preserve">, </w:t>
            </w:r>
            <w:proofErr w:type="spellStart"/>
            <w:r>
              <w:t>BorutLužar</w:t>
            </w:r>
            <w:proofErr w:type="spellEnd"/>
            <w:r>
              <w:t xml:space="preserve">, Martina </w:t>
            </w:r>
            <w:proofErr w:type="spellStart"/>
            <w:r>
              <w:t>Mockovčiaková</w:t>
            </w:r>
            <w:proofErr w:type="spellEnd"/>
            <w:r>
              <w:t xml:space="preserve">, Roman Soták, J </w:t>
            </w:r>
            <w:proofErr w:type="spellStart"/>
            <w:r>
              <w:t>Glob</w:t>
            </w:r>
            <w:proofErr w:type="spellEnd"/>
            <w:r>
              <w:t xml:space="preserve"> </w:t>
            </w:r>
            <w:proofErr w:type="spellStart"/>
            <w:r>
              <w:t>Optim</w:t>
            </w:r>
            <w:proofErr w:type="spellEnd"/>
            <w:r>
              <w:t xml:space="preserve"> (2014) 60:793–799</w:t>
            </w:r>
          </w:p>
          <w:p w:rsidR="009A6D2A" w:rsidRDefault="009A6D2A" w:rsidP="009A6D2A">
            <w:r>
              <w:t>DOI 10.1007/s10898-014-0221-z</w:t>
            </w:r>
          </w:p>
          <w:p w:rsidR="009A6D2A" w:rsidRDefault="009A6D2A" w:rsidP="009A6D2A"/>
          <w:p w:rsidR="009A6D2A" w:rsidRDefault="009A6D2A" w:rsidP="009A6D2A">
            <w:r>
              <w:t xml:space="preserve">Publikácia článku </w:t>
            </w:r>
            <w:proofErr w:type="spellStart"/>
            <w:r>
              <w:t>Contextual</w:t>
            </w:r>
            <w:proofErr w:type="spellEnd"/>
            <w:r>
              <w:t xml:space="preserve"> </w:t>
            </w:r>
            <w:proofErr w:type="spellStart"/>
            <w:r>
              <w:t>plasticity</w:t>
            </w:r>
            <w:proofErr w:type="spellEnd"/>
            <w:r>
              <w:t xml:space="preserve">, </w:t>
            </w:r>
            <w:proofErr w:type="spellStart"/>
            <w:r>
              <w:t>top-down</w:t>
            </w:r>
            <w:proofErr w:type="spellEnd"/>
            <w:r>
              <w:t xml:space="preserve">, and </w:t>
            </w:r>
            <w:proofErr w:type="spellStart"/>
            <w:r>
              <w:t>non-auditory</w:t>
            </w:r>
            <w:proofErr w:type="spellEnd"/>
            <w:r>
              <w:t xml:space="preserve"> </w:t>
            </w:r>
            <w:proofErr w:type="spellStart"/>
            <w:r>
              <w:t>factors</w:t>
            </w:r>
            <w:proofErr w:type="spellEnd"/>
            <w:r>
              <w:t xml:space="preserve"> in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localization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distractora</w:t>
            </w:r>
            <w:proofErr w:type="spellEnd"/>
            <w:r>
              <w:t xml:space="preserve">), Norbert Kopčo, Ľuboš Marcinek, Beáta </w:t>
            </w:r>
            <w:proofErr w:type="spellStart"/>
            <w:r>
              <w:t>Tomoriová</w:t>
            </w:r>
            <w:proofErr w:type="spellEnd"/>
            <w:r>
              <w:t xml:space="preserve">, Ľuboš Hládek, </w:t>
            </w:r>
            <w:proofErr w:type="spellStart"/>
            <w:r w:rsidRPr="009A6D2A">
              <w:t>Kopcˇo</w:t>
            </w:r>
            <w:proofErr w:type="spellEnd"/>
            <w:r w:rsidRPr="009A6D2A">
              <w:t xml:space="preserve"> </w:t>
            </w:r>
            <w:proofErr w:type="spellStart"/>
            <w:r w:rsidRPr="009A6D2A">
              <w:t>et</w:t>
            </w:r>
            <w:proofErr w:type="spellEnd"/>
            <w:r w:rsidRPr="009A6D2A">
              <w:t xml:space="preserve"> al.: JASA Express </w:t>
            </w:r>
            <w:proofErr w:type="spellStart"/>
            <w:r w:rsidRPr="009A6D2A">
              <w:t>Letters</w:t>
            </w:r>
            <w:proofErr w:type="spellEnd"/>
            <w:r w:rsidRPr="009A6D2A">
              <w:t xml:space="preserve"> [http://dx.doi.org/10.1121/1.4914999]</w:t>
            </w:r>
            <w:r>
              <w:t xml:space="preserve">, </w:t>
            </w:r>
            <w:r w:rsidRPr="009A6D2A">
              <w:t xml:space="preserve">J. </w:t>
            </w:r>
            <w:proofErr w:type="spellStart"/>
            <w:r w:rsidRPr="009A6D2A">
              <w:t>Acoust</w:t>
            </w:r>
            <w:proofErr w:type="spellEnd"/>
            <w:r w:rsidRPr="009A6D2A">
              <w:t xml:space="preserve">. Soc. Am. 137 (4), </w:t>
            </w:r>
            <w:proofErr w:type="spellStart"/>
            <w:r w:rsidRPr="009A6D2A">
              <w:t>April</w:t>
            </w:r>
            <w:proofErr w:type="spellEnd"/>
            <w:r w:rsidRPr="009A6D2A">
              <w:t xml:space="preserve"> 2015</w:t>
            </w:r>
          </w:p>
          <w:p w:rsidR="00EA150F" w:rsidRDefault="00EA150F" w:rsidP="005F0BD5"/>
        </w:tc>
      </w:tr>
    </w:tbl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EA150F" w:rsidRDefault="00EA150F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647E2E" w:rsidRDefault="00647E2E" w:rsidP="005F0BD5"/>
    <w:p w:rsidR="00EA150F" w:rsidRPr="00EA150F" w:rsidRDefault="00EA150F" w:rsidP="005F0BD5">
      <w:r>
        <w:t>_________________</w:t>
      </w:r>
    </w:p>
    <w:p w:rsidR="00EA150F" w:rsidRDefault="00EA150F" w:rsidP="005F0BD5">
      <w:pPr>
        <w:rPr>
          <w:rFonts w:ascii="Arial Narrow" w:hAnsi="Arial Narrow"/>
          <w:sz w:val="18"/>
          <w:szCs w:val="18"/>
        </w:rPr>
      </w:pPr>
      <w:r>
        <w:rPr>
          <w:rFonts w:eastAsiaTheme="minorEastAsia"/>
          <w:bCs/>
          <w:iCs/>
          <w:noProof/>
          <w:vertAlign w:val="superscript"/>
          <w:lang w:eastAsia="sk-SK"/>
        </w:rPr>
        <w:lastRenderedPageBreak/>
        <w:t xml:space="preserve">1 </w:t>
      </w:r>
      <w:r>
        <w:rPr>
          <w:rFonts w:ascii="Arial Narrow" w:hAnsi="Arial Narrow"/>
          <w:sz w:val="18"/>
          <w:szCs w:val="18"/>
        </w:rPr>
        <w:t>Stručný</w:t>
      </w:r>
      <w:r w:rsidRPr="00E156FE">
        <w:rPr>
          <w:rFonts w:ascii="Arial Narrow" w:hAnsi="Arial Narrow"/>
          <w:sz w:val="18"/>
          <w:szCs w:val="18"/>
        </w:rPr>
        <w:t xml:space="preserve"> p</w:t>
      </w:r>
      <w:r>
        <w:rPr>
          <w:rFonts w:ascii="Arial Narrow" w:hAnsi="Arial Narrow"/>
          <w:sz w:val="18"/>
          <w:szCs w:val="18"/>
        </w:rPr>
        <w:t xml:space="preserve">opis </w:t>
      </w:r>
      <w:r w:rsidRPr="00E156FE">
        <w:rPr>
          <w:rFonts w:ascii="Arial Narrow" w:hAnsi="Arial Narrow"/>
          <w:sz w:val="18"/>
          <w:szCs w:val="18"/>
        </w:rPr>
        <w:t>realizáci</w:t>
      </w:r>
      <w:r>
        <w:rPr>
          <w:rFonts w:ascii="Arial Narrow" w:hAnsi="Arial Narrow"/>
          <w:sz w:val="18"/>
          <w:szCs w:val="18"/>
        </w:rPr>
        <w:t>e</w:t>
      </w:r>
      <w:r w:rsidRPr="00E156FE">
        <w:rPr>
          <w:rFonts w:ascii="Arial Narrow" w:hAnsi="Arial Narrow"/>
          <w:sz w:val="18"/>
          <w:szCs w:val="18"/>
        </w:rPr>
        <w:t xml:space="preserve"> príslušnej aktivity projektu: súčasný stav verejného obstarávania,</w:t>
      </w:r>
      <w:r>
        <w:rPr>
          <w:rFonts w:ascii="Arial Narrow" w:hAnsi="Arial Narrow"/>
          <w:sz w:val="18"/>
          <w:szCs w:val="18"/>
        </w:rPr>
        <w:t xml:space="preserve"> pokrok v stavebných činnostiach, v dodaní tovarov a služieb, </w:t>
      </w:r>
      <w:r w:rsidR="0023192C">
        <w:rPr>
          <w:rFonts w:ascii="Arial Narrow" w:hAnsi="Arial Narrow"/>
          <w:sz w:val="18"/>
          <w:szCs w:val="18"/>
        </w:rPr>
        <w:t xml:space="preserve">stručný popis pokroku vo výskumných činnostiach, </w:t>
      </w:r>
      <w:r w:rsidRPr="00E156FE">
        <w:rPr>
          <w:rFonts w:ascii="Arial Narrow" w:hAnsi="Arial Narrow"/>
          <w:sz w:val="18"/>
          <w:szCs w:val="18"/>
        </w:rPr>
        <w:t xml:space="preserve"> dosiahnuté výsledky aktivity a pod.</w:t>
      </w:r>
      <w:r w:rsidR="0023192C">
        <w:rPr>
          <w:rFonts w:ascii="Arial Narrow" w:hAnsi="Arial Narrow"/>
          <w:sz w:val="18"/>
          <w:szCs w:val="18"/>
        </w:rPr>
        <w:t xml:space="preserve"> zároveň je nevyhnutné uviesť rizikové oblasti. </w:t>
      </w:r>
      <w:r w:rsidRPr="00E156FE">
        <w:rPr>
          <w:rFonts w:ascii="Arial Narrow" w:hAnsi="Arial Narrow"/>
          <w:sz w:val="18"/>
          <w:szCs w:val="18"/>
        </w:rPr>
        <w:t>Ak je realizácia aktivít v</w:t>
      </w:r>
      <w:r>
        <w:rPr>
          <w:rFonts w:ascii="Arial Narrow" w:hAnsi="Arial Narrow"/>
          <w:sz w:val="18"/>
          <w:szCs w:val="18"/>
        </w:rPr>
        <w:t> </w:t>
      </w:r>
      <w:r w:rsidRPr="00E156FE">
        <w:rPr>
          <w:rFonts w:ascii="Arial Narrow" w:hAnsi="Arial Narrow"/>
          <w:sz w:val="18"/>
          <w:szCs w:val="18"/>
        </w:rPr>
        <w:t>omeškaní</w:t>
      </w:r>
      <w:r>
        <w:rPr>
          <w:rFonts w:ascii="Arial Narrow" w:hAnsi="Arial Narrow"/>
          <w:sz w:val="18"/>
          <w:szCs w:val="18"/>
        </w:rPr>
        <w:t>, je potrebné uviesť</w:t>
      </w:r>
      <w:r w:rsidR="0023192C">
        <w:rPr>
          <w:rFonts w:ascii="Arial Narrow" w:hAnsi="Arial Narrow"/>
          <w:sz w:val="18"/>
          <w:szCs w:val="18"/>
        </w:rPr>
        <w:t xml:space="preserve"> dôvody omeškania a aké boli prijaté opatrenia. </w:t>
      </w:r>
      <w:r w:rsidRPr="00E156FE">
        <w:rPr>
          <w:rFonts w:ascii="Arial Narrow" w:hAnsi="Arial Narrow"/>
          <w:sz w:val="18"/>
          <w:szCs w:val="18"/>
        </w:rPr>
        <w:t xml:space="preserve"> V prípade, že je aktivita ukončená</w:t>
      </w:r>
      <w:r>
        <w:rPr>
          <w:rFonts w:ascii="Arial Narrow" w:hAnsi="Arial Narrow"/>
          <w:sz w:val="18"/>
          <w:szCs w:val="18"/>
        </w:rPr>
        <w:t xml:space="preserve">, uviesť </w:t>
      </w:r>
      <w:r w:rsidRPr="00E156FE">
        <w:rPr>
          <w:rFonts w:ascii="Arial Narrow" w:hAnsi="Arial Narrow"/>
          <w:sz w:val="18"/>
          <w:szCs w:val="18"/>
        </w:rPr>
        <w:t>len text „UKONČENÁ“</w:t>
      </w:r>
      <w:r>
        <w:rPr>
          <w:rFonts w:ascii="Arial Narrow" w:hAnsi="Arial Narrow"/>
          <w:sz w:val="18"/>
          <w:szCs w:val="18"/>
        </w:rPr>
        <w:t>.</w:t>
      </w:r>
    </w:p>
    <w:p w:rsidR="00755127" w:rsidRPr="00755127" w:rsidRDefault="00755127" w:rsidP="005F0BD5">
      <w:pPr>
        <w:rPr>
          <w:rFonts w:eastAsiaTheme="minorEastAsia"/>
          <w:bCs/>
          <w:iCs/>
          <w:noProof/>
          <w:lang w:eastAsia="sk-SK"/>
        </w:rPr>
      </w:pPr>
    </w:p>
    <w:p w:rsidR="00561E56" w:rsidRPr="00AC67D9" w:rsidRDefault="00EF13F2" w:rsidP="005F0BD5">
      <w:pPr>
        <w:rPr>
          <w:rFonts w:eastAsiaTheme="minorEastAsia"/>
          <w:b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t xml:space="preserve">3. Finančný pokrok v realizácii aktivít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45"/>
        <w:gridCol w:w="2833"/>
        <w:gridCol w:w="2835"/>
        <w:gridCol w:w="2977"/>
      </w:tblGrid>
      <w:tr w:rsidR="004B4C86" w:rsidRPr="00AC67D9" w:rsidTr="005E4DF4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AC67D9" w:rsidRDefault="004B4C86" w:rsidP="00A725E8">
            <w:pPr>
              <w:jc w:val="center"/>
              <w:rPr>
                <w:rFonts w:eastAsiaTheme="minorEastAsia"/>
                <w:b/>
                <w:bCs/>
                <w:iCs/>
                <w:noProof/>
                <w:lang w:eastAsia="sk-SK"/>
              </w:rPr>
            </w:pPr>
            <w:r w:rsidRPr="00AC67D9">
              <w:rPr>
                <w:rFonts w:eastAsiaTheme="minorEastAsia"/>
                <w:b/>
                <w:bCs/>
                <w:iCs/>
                <w:noProof/>
                <w:lang w:eastAsia="sk-SK"/>
              </w:rPr>
              <w:t>Finančný pokrok v realizácii aktivít</w:t>
            </w:r>
            <w:r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2</w:t>
            </w:r>
          </w:p>
        </w:tc>
      </w:tr>
      <w:tr w:rsidR="004B4C86" w:rsidRPr="0065201F" w:rsidTr="005E4DF4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65201F" w:rsidRDefault="004B4C86" w:rsidP="00A725E8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4B4C86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430090" w:rsidRDefault="00F10985" w:rsidP="00430090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aktivity </w:t>
            </w:r>
          </w:p>
        </w:tc>
        <w:tc>
          <w:tcPr>
            <w:tcW w:w="2833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D939DF">
            <w:pPr>
              <w:jc w:val="center"/>
              <w:rPr>
                <w:b/>
              </w:rPr>
            </w:pPr>
            <w:r w:rsidRPr="00430090">
              <w:rPr>
                <w:b/>
              </w:rPr>
              <w:t>Vyčerpaná</w:t>
            </w:r>
            <w:r w:rsidR="00D939DF" w:rsidRPr="00430090">
              <w:rPr>
                <w:b/>
              </w:rPr>
              <w:t xml:space="preserve"> </w:t>
            </w:r>
            <w:r w:rsidR="00D939DF">
              <w:rPr>
                <w:b/>
              </w:rPr>
              <w:t>s</w:t>
            </w:r>
            <w:r w:rsidR="00D939DF" w:rsidRPr="00430090">
              <w:rPr>
                <w:b/>
              </w:rPr>
              <w:t>uma NFP</w:t>
            </w:r>
          </w:p>
        </w:tc>
        <w:tc>
          <w:tcPr>
            <w:tcW w:w="2835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Zostatok</w:t>
            </w:r>
          </w:p>
        </w:tc>
        <w:tc>
          <w:tcPr>
            <w:tcW w:w="2977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>
              <w:rPr>
                <w:b/>
              </w:rPr>
              <w:t>Odhad nedočerpania</w:t>
            </w:r>
          </w:p>
        </w:tc>
      </w:tr>
      <w:tr w:rsidR="00763AA8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1.1 Etablovanie UVP TECHNICOM v súlade s adekvátnymi princípmi vedeckého manažmentu.</w:t>
            </w:r>
          </w:p>
        </w:tc>
        <w:tc>
          <w:tcPr>
            <w:tcW w:w="2833" w:type="dxa"/>
            <w:vAlign w:val="center"/>
          </w:tcPr>
          <w:p w:rsidR="00836B10" w:rsidRPr="00DF01B0" w:rsidRDefault="005E4DF4" w:rsidP="0020796F">
            <w:pPr>
              <w:jc w:val="right"/>
            </w:pPr>
            <w:r w:rsidRPr="00DF01B0">
              <w:t>2 416,44</w:t>
            </w:r>
          </w:p>
        </w:tc>
        <w:tc>
          <w:tcPr>
            <w:tcW w:w="2835" w:type="dxa"/>
            <w:vAlign w:val="center"/>
          </w:tcPr>
          <w:p w:rsidR="00763AA8" w:rsidRPr="00DF01B0" w:rsidRDefault="005E4DF4" w:rsidP="0020796F">
            <w:pPr>
              <w:jc w:val="right"/>
            </w:pPr>
            <w:r w:rsidRPr="00DF01B0">
              <w:t>1</w:t>
            </w:r>
            <w:r w:rsidR="00C40389" w:rsidRPr="00DF01B0">
              <w:t>5 679,56</w:t>
            </w:r>
          </w:p>
        </w:tc>
        <w:tc>
          <w:tcPr>
            <w:tcW w:w="2977" w:type="dxa"/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1.2 Metodická, odborná a realizačná podpora riešenia predkladaného projektu</w:t>
            </w:r>
          </w:p>
        </w:tc>
        <w:tc>
          <w:tcPr>
            <w:tcW w:w="2833" w:type="dxa"/>
            <w:vAlign w:val="center"/>
          </w:tcPr>
          <w:p w:rsidR="00763AA8" w:rsidRPr="00DF01B0" w:rsidRDefault="005E4DF4" w:rsidP="0020796F">
            <w:pPr>
              <w:jc w:val="right"/>
            </w:pPr>
            <w:r w:rsidRPr="00DF01B0">
              <w:t>508,15</w:t>
            </w:r>
          </w:p>
        </w:tc>
        <w:tc>
          <w:tcPr>
            <w:tcW w:w="2835" w:type="dxa"/>
            <w:vAlign w:val="center"/>
          </w:tcPr>
          <w:p w:rsidR="00763AA8" w:rsidRPr="00DF01B0" w:rsidRDefault="00C40389" w:rsidP="0020796F">
            <w:pPr>
              <w:jc w:val="right"/>
            </w:pPr>
            <w:r w:rsidRPr="00DF01B0">
              <w:t>13 337,05</w:t>
            </w:r>
          </w:p>
        </w:tc>
        <w:tc>
          <w:tcPr>
            <w:tcW w:w="2977" w:type="dxa"/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1.3 Príprava a zabezpečenie služieb pre udržateľný chod UVP TECHNICOM</w:t>
            </w:r>
          </w:p>
        </w:tc>
        <w:tc>
          <w:tcPr>
            <w:tcW w:w="2833" w:type="dxa"/>
            <w:vAlign w:val="center"/>
          </w:tcPr>
          <w:p w:rsidR="00763AA8" w:rsidRPr="00DF01B0" w:rsidRDefault="005E4DF4" w:rsidP="0020796F">
            <w:pPr>
              <w:jc w:val="right"/>
            </w:pPr>
            <w:r w:rsidRPr="00DF01B0">
              <w:t>0,00</w:t>
            </w:r>
          </w:p>
        </w:tc>
        <w:tc>
          <w:tcPr>
            <w:tcW w:w="2835" w:type="dxa"/>
            <w:vAlign w:val="center"/>
          </w:tcPr>
          <w:p w:rsidR="00763AA8" w:rsidRPr="00DF01B0" w:rsidRDefault="00C40389" w:rsidP="0020796F">
            <w:pPr>
              <w:jc w:val="right"/>
            </w:pPr>
            <w:r w:rsidRPr="00DF01B0">
              <w:t>19</w:t>
            </w:r>
            <w:r w:rsidR="0020796F" w:rsidRPr="00DF01B0">
              <w:t> </w:t>
            </w:r>
            <w:r w:rsidRPr="00DF01B0">
              <w:t>603,44</w:t>
            </w:r>
          </w:p>
        </w:tc>
        <w:tc>
          <w:tcPr>
            <w:tcW w:w="2977" w:type="dxa"/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2.1. Vybudovanie stavebných objektov a príslušnej infraštruktúry v areáli TUKE</w:t>
            </w:r>
          </w:p>
        </w:tc>
        <w:tc>
          <w:tcPr>
            <w:tcW w:w="2833" w:type="dxa"/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</w:tc>
        <w:tc>
          <w:tcPr>
            <w:tcW w:w="2833" w:type="dxa"/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 xml:space="preserve">Aktivita 2.3 Nadstavba, zateplenie a modernizácia časti UVP TECHNICOM na </w:t>
            </w:r>
            <w:r w:rsidRPr="006D6EB3">
              <w:lastRenderedPageBreak/>
              <w:t>Jesennej 5 v Košiciach</w:t>
            </w:r>
          </w:p>
        </w:tc>
        <w:tc>
          <w:tcPr>
            <w:tcW w:w="2833" w:type="dxa"/>
            <w:vAlign w:val="center"/>
          </w:tcPr>
          <w:p w:rsidR="00763AA8" w:rsidRPr="00DF01B0" w:rsidRDefault="005E4DF4" w:rsidP="0020796F">
            <w:pPr>
              <w:jc w:val="right"/>
            </w:pPr>
            <w:r w:rsidRPr="00DF01B0">
              <w:lastRenderedPageBreak/>
              <w:t>0,00</w:t>
            </w:r>
          </w:p>
        </w:tc>
        <w:tc>
          <w:tcPr>
            <w:tcW w:w="2835" w:type="dxa"/>
            <w:vAlign w:val="center"/>
          </w:tcPr>
          <w:p w:rsidR="00763AA8" w:rsidRPr="00DF01B0" w:rsidRDefault="00C40389" w:rsidP="0020796F">
            <w:pPr>
              <w:jc w:val="right"/>
            </w:pPr>
            <w:r w:rsidRPr="00DF01B0">
              <w:t>789</w:t>
            </w:r>
            <w:r w:rsidR="0020796F" w:rsidRPr="00DF01B0">
              <w:t> </w:t>
            </w:r>
            <w:r w:rsidRPr="00DF01B0">
              <w:t>105,22</w:t>
            </w:r>
          </w:p>
        </w:tc>
        <w:tc>
          <w:tcPr>
            <w:tcW w:w="2977" w:type="dxa"/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lastRenderedPageBreak/>
              <w:t>Aktivita 2.4  Vybavenie UVP TECHNICOM Jesenná 5 infraštruktúrou potrebnou k realizácii aplikovaného výskumu</w:t>
            </w:r>
          </w:p>
        </w:tc>
        <w:tc>
          <w:tcPr>
            <w:tcW w:w="2833" w:type="dxa"/>
            <w:vAlign w:val="center"/>
          </w:tcPr>
          <w:p w:rsidR="00763AA8" w:rsidRPr="00DF01B0" w:rsidRDefault="005E4DF4" w:rsidP="0020796F">
            <w:pPr>
              <w:jc w:val="right"/>
            </w:pPr>
            <w:r w:rsidRPr="00DF01B0">
              <w:t>0,00</w:t>
            </w:r>
          </w:p>
        </w:tc>
        <w:tc>
          <w:tcPr>
            <w:tcW w:w="2835" w:type="dxa"/>
            <w:vAlign w:val="center"/>
          </w:tcPr>
          <w:p w:rsidR="00763AA8" w:rsidRPr="00DF01B0" w:rsidRDefault="00C40389" w:rsidP="0020796F">
            <w:pPr>
              <w:jc w:val="right"/>
            </w:pPr>
            <w:r w:rsidRPr="00DF01B0">
              <w:t>2 480 367,85</w:t>
            </w:r>
          </w:p>
        </w:tc>
        <w:tc>
          <w:tcPr>
            <w:tcW w:w="2977" w:type="dxa"/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2.5 Výstavba nových výskumných priestorov partnera Prešovská univerzita - UNIPOLAB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2.6  Vybavenie priestorov partnera PU nevyhnutnou prístrojovou, laboratórnou a IKT infraštruktúrou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3.1 Pilotné projekty v odbore 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3.2 Pilotné projekty v odbore Elektrotechnika, automatizácia a riadiace systémy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3.3 Pilotné projekty v odbore Strojárstvo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3.4 Pilotné projekty v odbore Stavebné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A725E8">
            <w:r w:rsidRPr="006D6EB3">
              <w:t xml:space="preserve">Aktivita 3.5 Pilotné projekty v </w:t>
            </w:r>
            <w:r w:rsidRPr="006D6EB3">
              <w:lastRenderedPageBreak/>
              <w:t>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A725E8">
            <w:r w:rsidRPr="006D6EB3">
              <w:lastRenderedPageBreak/>
              <w:t>Aktivita 3.6.  Pilotné projekty UPJŠ v odbore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Pr="00DF01B0" w:rsidRDefault="005E4DF4" w:rsidP="0020796F">
            <w:pPr>
              <w:jc w:val="right"/>
            </w:pPr>
            <w:r w:rsidRPr="00DF01B0">
              <w:t>329 346,35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Pr="00DF01B0" w:rsidRDefault="00C40389" w:rsidP="0020796F">
            <w:pPr>
              <w:jc w:val="right"/>
            </w:pPr>
            <w:r w:rsidRPr="00DF01B0">
              <w:t>657</w:t>
            </w:r>
            <w:r w:rsidR="0020796F" w:rsidRPr="00DF01B0">
              <w:t> </w:t>
            </w:r>
            <w:r w:rsidRPr="00DF01B0">
              <w:t>241,19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763AA8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A725E8">
            <w:r w:rsidRPr="006D6EB3">
              <w:t>Aktivita 3.7 Pilotné projekty PU v Prešove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Pr="00DF01B0" w:rsidRDefault="00763AA8" w:rsidP="0020796F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Pr="00DF01B0" w:rsidRDefault="00763AA8" w:rsidP="0020796F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20796F">
            <w:pPr>
              <w:jc w:val="right"/>
            </w:pPr>
          </w:p>
        </w:tc>
      </w:tr>
      <w:tr w:rsidR="004B4C86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86" w:rsidRPr="00DF01B0" w:rsidRDefault="005E4DF4" w:rsidP="0020796F">
            <w:pPr>
              <w:jc w:val="right"/>
            </w:pPr>
            <w:r w:rsidRPr="00DF01B0">
              <w:t>332 270,94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86" w:rsidRPr="00DF01B0" w:rsidRDefault="0020796F" w:rsidP="0020796F">
            <w:pPr>
              <w:jc w:val="right"/>
            </w:pPr>
            <w:r w:rsidRPr="00DF01B0">
              <w:t>3 975 334,31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B4C86" w:rsidRDefault="004B4C86" w:rsidP="0020796F">
            <w:pPr>
              <w:jc w:val="right"/>
            </w:pPr>
          </w:p>
        </w:tc>
      </w:tr>
      <w:tr w:rsidR="004B4C86" w:rsidRPr="0065201F" w:rsidTr="005E4DF4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DF01B0" w:rsidRDefault="004B4C86" w:rsidP="00A725E8">
            <w:pPr>
              <w:jc w:val="center"/>
              <w:rPr>
                <w:b/>
              </w:rPr>
            </w:pPr>
            <w:r w:rsidRPr="00DF01B0">
              <w:rPr>
                <w:b/>
              </w:rPr>
              <w:t>Podporné aktivity</w:t>
            </w:r>
          </w:p>
        </w:tc>
      </w:tr>
      <w:tr w:rsidR="00442CAC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442CAC" w:rsidRDefault="00442CAC" w:rsidP="00A725E8">
            <w:r>
              <w:t>Riadenie projektu</w:t>
            </w:r>
          </w:p>
        </w:tc>
        <w:tc>
          <w:tcPr>
            <w:tcW w:w="2833" w:type="dxa"/>
            <w:vAlign w:val="center"/>
          </w:tcPr>
          <w:p w:rsidR="00442CAC" w:rsidRPr="00DF01B0" w:rsidRDefault="00C40389" w:rsidP="0020796F">
            <w:pPr>
              <w:jc w:val="right"/>
            </w:pPr>
            <w:r w:rsidRPr="00DF01B0">
              <w:t>50 189,38</w:t>
            </w:r>
          </w:p>
        </w:tc>
        <w:tc>
          <w:tcPr>
            <w:tcW w:w="2835" w:type="dxa"/>
            <w:vAlign w:val="center"/>
          </w:tcPr>
          <w:p w:rsidR="00442CAC" w:rsidRPr="00DF01B0" w:rsidRDefault="00C40389" w:rsidP="0020796F">
            <w:pPr>
              <w:jc w:val="right"/>
            </w:pPr>
            <w:r w:rsidRPr="00DF01B0">
              <w:t>118 462,02</w:t>
            </w:r>
          </w:p>
        </w:tc>
        <w:tc>
          <w:tcPr>
            <w:tcW w:w="2977" w:type="dxa"/>
            <w:vAlign w:val="center"/>
          </w:tcPr>
          <w:p w:rsidR="00442CAC" w:rsidRDefault="00442CAC" w:rsidP="0020796F">
            <w:pPr>
              <w:jc w:val="right"/>
            </w:pPr>
          </w:p>
        </w:tc>
      </w:tr>
      <w:tr w:rsidR="00442CAC" w:rsidTr="005E4DF4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42CAC" w:rsidRDefault="00442CAC" w:rsidP="00A725E8">
            <w:r w:rsidRPr="006D6EB3">
              <w:t>Publicita a informovanosť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442CAC" w:rsidRPr="00DF01B0" w:rsidRDefault="00C40389" w:rsidP="00A725E8">
            <w:pPr>
              <w:jc w:val="right"/>
            </w:pPr>
            <w:r w:rsidRPr="00DF01B0">
              <w:t>0,00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2CAC" w:rsidRPr="00DF01B0" w:rsidRDefault="00C40389" w:rsidP="0020796F">
            <w:pPr>
              <w:jc w:val="right"/>
            </w:pPr>
            <w:r w:rsidRPr="00DF01B0">
              <w:t>10 167,88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2CAC" w:rsidRDefault="00442CAC" w:rsidP="0020796F">
            <w:pPr>
              <w:jc w:val="right"/>
            </w:pPr>
          </w:p>
        </w:tc>
      </w:tr>
      <w:tr w:rsidR="004B4C86" w:rsidTr="005E4DF4"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4B4C86" w:rsidRPr="00DF01B0" w:rsidRDefault="0020796F" w:rsidP="0020796F">
            <w:pPr>
              <w:jc w:val="right"/>
            </w:pPr>
            <w:r w:rsidRPr="00DF01B0">
              <w:t>382 460,32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4C86" w:rsidRPr="00DF01B0" w:rsidRDefault="00C40389" w:rsidP="0020796F">
            <w:pPr>
              <w:jc w:val="right"/>
            </w:pPr>
            <w:r w:rsidRPr="00DF01B0">
              <w:t>4 103 964,21</w:t>
            </w:r>
          </w:p>
        </w:tc>
        <w:tc>
          <w:tcPr>
            <w:tcW w:w="2977" w:type="dxa"/>
            <w:vAlign w:val="center"/>
          </w:tcPr>
          <w:p w:rsidR="004B4C86" w:rsidRDefault="004B4C86" w:rsidP="0020796F">
            <w:pPr>
              <w:jc w:val="right"/>
            </w:pPr>
          </w:p>
        </w:tc>
      </w:tr>
    </w:tbl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6E4A8E" w:rsidRDefault="006E4A8E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743E23" w:rsidRDefault="00743E23" w:rsidP="005F0BD5"/>
    <w:p w:rsidR="00743E23" w:rsidRDefault="00743E23" w:rsidP="005F0BD5"/>
    <w:p w:rsidR="00EF13F2" w:rsidRDefault="00EF13F2" w:rsidP="005F0BD5"/>
    <w:p w:rsidR="00755127" w:rsidRDefault="00755127" w:rsidP="005F0BD5"/>
    <w:p w:rsidR="00EF13F2" w:rsidRDefault="006E4A8E" w:rsidP="005F0BD5">
      <w:r>
        <w:t>______________________</w:t>
      </w:r>
    </w:p>
    <w:p w:rsidR="006E4A8E" w:rsidRDefault="006E4A8E" w:rsidP="006E4A8E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vertAlign w:val="superscript"/>
        </w:rPr>
        <w:lastRenderedPageBreak/>
        <w:t>2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Uvádzať </w:t>
      </w:r>
      <w:r w:rsidRPr="001254C2">
        <w:rPr>
          <w:rFonts w:ascii="Arial Narrow" w:hAnsi="Arial Narrow"/>
          <w:sz w:val="18"/>
          <w:szCs w:val="18"/>
        </w:rPr>
        <w:t xml:space="preserve"> kumulatívne </w:t>
      </w:r>
      <w:r>
        <w:rPr>
          <w:rFonts w:ascii="Arial Narrow" w:hAnsi="Arial Narrow"/>
          <w:sz w:val="18"/>
          <w:szCs w:val="18"/>
        </w:rPr>
        <w:t>vyčerpanú sumu NFP od začiatku realizácie projektu (t.j.</w:t>
      </w:r>
      <w:r w:rsidR="001A3961">
        <w:rPr>
          <w:rFonts w:ascii="Arial Narrow" w:hAnsi="Arial Narrow"/>
          <w:sz w:val="18"/>
          <w:szCs w:val="18"/>
        </w:rPr>
        <w:t xml:space="preserve"> sumu, ktorá už bola uhradená platobnou jednotkou</w:t>
      </w:r>
      <w:r>
        <w:rPr>
          <w:rFonts w:ascii="Arial Narrow" w:hAnsi="Arial Narrow"/>
          <w:sz w:val="18"/>
          <w:szCs w:val="18"/>
        </w:rPr>
        <w:t>).</w:t>
      </w:r>
    </w:p>
    <w:p w:rsidR="006E4A8E" w:rsidRPr="006E4A8E" w:rsidRDefault="006E4A8E" w:rsidP="005F0BD5"/>
    <w:p w:rsidR="00EF13F2" w:rsidRDefault="00EF13F2" w:rsidP="005F0BD5"/>
    <w:tbl>
      <w:tblPr>
        <w:tblpPr w:leftFromText="141" w:rightFromText="141" w:vertAnchor="text" w:horzAnchor="margin" w:tblpX="-601" w:tblpY="18"/>
        <w:tblOverlap w:val="never"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566"/>
        <w:gridCol w:w="1699"/>
        <w:gridCol w:w="1703"/>
        <w:gridCol w:w="1417"/>
        <w:gridCol w:w="1979"/>
      </w:tblGrid>
      <w:tr w:rsidR="00E3587A" w:rsidRPr="00E156FE" w:rsidTr="0020796F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Rozpočet projektu podľa skupín výdavkov</w:t>
            </w:r>
          </w:p>
        </w:tc>
      </w:tr>
      <w:tr w:rsidR="00E3587A" w:rsidRPr="00E156FE" w:rsidTr="0020796F">
        <w:trPr>
          <w:trHeight w:val="662"/>
        </w:trPr>
        <w:tc>
          <w:tcPr>
            <w:tcW w:w="105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Názov skupiny výdavkov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ind w:left="-159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Oprávnené výdavky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14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Výdavky deklarované v </w:t>
            </w:r>
            <w:proofErr w:type="spellStart"/>
            <w:r w:rsidRPr="00E3587A">
              <w:rPr>
                <w:rFonts w:cs="Arial"/>
                <w:b/>
              </w:rPr>
              <w:t>ŽoP</w:t>
            </w:r>
            <w:proofErr w:type="spellEnd"/>
            <w:r w:rsidRPr="00E3587A">
              <w:rPr>
                <w:rFonts w:cs="Arial"/>
                <w:b/>
              </w:rPr>
              <w:t xml:space="preserve"> 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Stav finančnej realizácie (v %) (podiel skutočne uhradených z plánovaných oprávnených výdavkov)</w:t>
            </w:r>
          </w:p>
        </w:tc>
      </w:tr>
      <w:tr w:rsidR="00E3587A" w:rsidRPr="00E156FE" w:rsidTr="0020796F">
        <w:trPr>
          <w:trHeight w:val="330"/>
        </w:trPr>
        <w:tc>
          <w:tcPr>
            <w:tcW w:w="105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587A" w:rsidRPr="00E3587A" w:rsidRDefault="00E3587A" w:rsidP="00E3587A">
            <w:pPr>
              <w:rPr>
                <w:rFonts w:cs="Arial"/>
                <w:b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Plánovaný stav</w:t>
            </w:r>
          </w:p>
        </w:tc>
        <w:tc>
          <w:tcPr>
            <w:tcW w:w="8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F42BEC">
            <w:pPr>
              <w:ind w:left="-22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Skutočný (aktuálny) stav</w:t>
            </w:r>
            <w:r w:rsidR="00F42BEC">
              <w:rPr>
                <w:rStyle w:val="Odkaznapoznmkupodiarou"/>
                <w:rFonts w:cs="Arial"/>
                <w:b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Predložené na RO</w:t>
            </w:r>
          </w:p>
          <w:p w:rsidR="00E3587A" w:rsidRPr="00E3587A" w:rsidRDefault="00E3587A" w:rsidP="00E35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Schválené</w:t>
            </w:r>
            <w:r w:rsidR="00F42BEC">
              <w:rPr>
                <w:rStyle w:val="Odkaznapoznmkupodiarou"/>
                <w:rFonts w:cs="Arial"/>
                <w:b/>
                <w:bCs/>
              </w:rPr>
              <w:t>4</w:t>
            </w:r>
            <w:r w:rsidRPr="00E3587A">
              <w:rPr>
                <w:rFonts w:cs="Arial"/>
                <w:b/>
                <w:bCs/>
              </w:rPr>
              <w:t xml:space="preserve"> výdavky projektu zo strany  PJ</w:t>
            </w:r>
          </w:p>
          <w:p w:rsidR="00E3587A" w:rsidRPr="00E3587A" w:rsidRDefault="00E3587A" w:rsidP="00E35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</w:tcBorders>
            <w:shd w:val="clear" w:color="auto" w:fill="92CDDC"/>
            <w:vAlign w:val="center"/>
          </w:tcPr>
          <w:p w:rsidR="00E3587A" w:rsidRPr="00E3587A" w:rsidRDefault="00E3587A" w:rsidP="00E3587A">
            <w:pPr>
              <w:jc w:val="center"/>
              <w:rPr>
                <w:rFonts w:cs="Arial"/>
                <w:b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1.1 Etablovanie UVP TECHNICOM v súlade s adekvátnymi princípmi vedeckého manažmentu.</w:t>
            </w:r>
          </w:p>
        </w:tc>
        <w:tc>
          <w:tcPr>
            <w:tcW w:w="73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AA8" w:rsidRPr="00DF01B0" w:rsidRDefault="006024E7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18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096,00</w:t>
            </w:r>
          </w:p>
        </w:tc>
        <w:tc>
          <w:tcPr>
            <w:tcW w:w="80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AA8" w:rsidRPr="00DF01B0" w:rsidRDefault="006024E7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2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841,61</w:t>
            </w:r>
          </w:p>
        </w:tc>
        <w:tc>
          <w:tcPr>
            <w:tcW w:w="8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2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780,11</w:t>
            </w:r>
          </w:p>
        </w:tc>
        <w:tc>
          <w:tcPr>
            <w:tcW w:w="66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2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416,44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5708B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13,35</w:t>
            </w: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1.2 Metodická, odborná a realizačná podpora riešenia predkladaného projektu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DF01B0" w:rsidRDefault="006024E7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13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845,20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DF01B0" w:rsidRDefault="00836B10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2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012,99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2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012,99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508,15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5708B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3,67</w:t>
            </w: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1.3 Príprava a zabezpečenie služieb pre udržateľný chod UVP TECHNICOM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DF01B0" w:rsidRDefault="006024E7" w:rsidP="0020796F">
            <w:pPr>
              <w:jc w:val="right"/>
              <w:rPr>
                <w:rFonts w:cs="Arial"/>
                <w:bCs/>
              </w:rPr>
            </w:pPr>
            <w:r w:rsidRPr="00DF01B0">
              <w:rPr>
                <w:rFonts w:cs="Arial"/>
                <w:bCs/>
              </w:rPr>
              <w:t>19</w:t>
            </w:r>
            <w:r w:rsidR="0020796F" w:rsidRPr="00DF01B0">
              <w:rPr>
                <w:rFonts w:cs="Arial"/>
                <w:bCs/>
              </w:rPr>
              <w:t> </w:t>
            </w:r>
            <w:r w:rsidRPr="00DF01B0">
              <w:rPr>
                <w:rFonts w:cs="Arial"/>
                <w:bCs/>
              </w:rPr>
              <w:t>603,44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DF01B0" w:rsidRDefault="00836B10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3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122,00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2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554,40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5708B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2.1. Vybudovanie stavebných objektov a príslušnej infraštruktúry v areáli TUKE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2.3 Nadstavba, zateplenie a modernizácia časti UVP TECHNICOM na Jesennej 5 v Košiciach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DF01B0" w:rsidRDefault="006024E7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789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105,22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DF01B0" w:rsidRDefault="00836B10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5708B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 xml:space="preserve">Aktivita 2.4  Vybavenie UVP TECHNICOM Jesenná </w:t>
            </w:r>
            <w:r w:rsidRPr="006D6EB3">
              <w:lastRenderedPageBreak/>
              <w:t>5 infraštruktúrou potrebnou k realizácii aplikovaného výskumu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DF01B0" w:rsidRDefault="006024E7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lastRenderedPageBreak/>
              <w:t>2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480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367,85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DF01B0" w:rsidRDefault="00836B10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5708B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0,00</w:t>
            </w: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lastRenderedPageBreak/>
              <w:t>Aktivita 2.5 Výstavba nových výskumných priestorov partnera Prešovská univerzita - UNIPOLAB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2.6  Vybavenie priestorov partnera PU nevyhnutnou prístrojovou, laboratórnou a IKT infraštruktúrou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3.1 Pilotné projekty v odbore  Informačné a komunikačné technológie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3.2 Pilotné projekty v odbore Elektrotechnika, automatizácia a riadiace systémy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3.3 Pilotné projekty v odbore Strojárstvo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A725E8">
            <w:r w:rsidRPr="006D6EB3">
              <w:t>Aktivita 3.4 Pilotné projekty v odbore Stavebné inžinierstvo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A725E8">
            <w:r w:rsidRPr="006D6EB3">
              <w:t>Aktivita 3.5 Pilotné projekty v odbore Environmentálne inžinierstvo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E3587A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A725E8">
            <w:r w:rsidRPr="006D6EB3">
              <w:t>Aktivita 3.6.  Pilotné projekty UPJŠ v odbore Informačné a komunikačné technológie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DF01B0" w:rsidRDefault="006024E7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986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587,54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DF01B0" w:rsidRDefault="00836B10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539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627,61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496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830,56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329 346,35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5708B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33,38</w:t>
            </w:r>
          </w:p>
        </w:tc>
      </w:tr>
      <w:tr w:rsidR="00763AA8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A725E8">
            <w:r w:rsidRPr="006D6EB3">
              <w:t>Aktivita 3.7 Pilotné projekty PU v Prešove v odbore Environmentálne inžinierstvo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63AA8" w:rsidRPr="00DF01B0" w:rsidRDefault="00763AA8" w:rsidP="0020796F">
            <w:pPr>
              <w:jc w:val="right"/>
              <w:rPr>
                <w:rFonts w:cs="Arial"/>
              </w:rPr>
            </w:pPr>
          </w:p>
        </w:tc>
      </w:tr>
      <w:tr w:rsidR="00E3587A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  <w:bCs/>
              </w:rPr>
              <w:t>Spolu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E3587A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4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307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605,25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3587A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547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604,21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E3587A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504</w:t>
            </w:r>
            <w:r w:rsidR="0020796F" w:rsidRPr="00DF01B0">
              <w:rPr>
                <w:rFonts w:cs="Arial"/>
              </w:rPr>
              <w:t> </w:t>
            </w:r>
            <w:r w:rsidRPr="00DF01B0">
              <w:rPr>
                <w:rFonts w:cs="Arial"/>
              </w:rPr>
              <w:t>178,06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3587A" w:rsidRPr="00DF01B0" w:rsidRDefault="00C4038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332 270,94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E3587A" w:rsidRPr="00DF01B0" w:rsidRDefault="005708B9" w:rsidP="0020796F">
            <w:pPr>
              <w:jc w:val="right"/>
              <w:rPr>
                <w:rFonts w:cs="Arial"/>
              </w:rPr>
            </w:pPr>
            <w:r w:rsidRPr="00DF01B0">
              <w:rPr>
                <w:rFonts w:cs="Arial"/>
              </w:rPr>
              <w:t>7,71</w:t>
            </w:r>
          </w:p>
        </w:tc>
      </w:tr>
      <w:tr w:rsidR="00755127" w:rsidRPr="00E156FE" w:rsidTr="002079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755127" w:rsidRPr="00E3587A" w:rsidRDefault="00755127" w:rsidP="00E3587A">
            <w:pPr>
              <w:rPr>
                <w:rFonts w:cs="Arial"/>
                <w:b/>
                <w:bCs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755127" w:rsidRPr="00E3587A" w:rsidRDefault="00755127" w:rsidP="00E3587A">
            <w:pPr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55127" w:rsidRPr="00E3587A" w:rsidRDefault="00755127" w:rsidP="00E3587A">
            <w:pPr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55127" w:rsidRPr="00E3587A" w:rsidRDefault="00755127" w:rsidP="00E3587A">
            <w:pPr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55127" w:rsidRPr="00E3587A" w:rsidRDefault="00755127" w:rsidP="00E3587A">
            <w:pPr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55127" w:rsidRPr="00E3587A" w:rsidRDefault="00755127" w:rsidP="00E3587A">
            <w:pPr>
              <w:jc w:val="right"/>
              <w:rPr>
                <w:rFonts w:cs="Arial"/>
              </w:rPr>
            </w:pPr>
          </w:p>
        </w:tc>
      </w:tr>
      <w:tr w:rsidR="00E3587A" w:rsidRPr="00E156FE" w:rsidTr="0020796F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F42BEC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Zdôvodnenie nesúladu skutočného a plánovaného stavu finančnej realizácie projektu</w:t>
            </w:r>
            <w:r w:rsidR="00F42BEC">
              <w:rPr>
                <w:rStyle w:val="Odkaznapoznmkupodiarou"/>
                <w:rFonts w:cs="Arial"/>
                <w:b/>
              </w:rPr>
              <w:t>5</w:t>
            </w:r>
          </w:p>
        </w:tc>
      </w:tr>
      <w:tr w:rsidR="00E3587A" w:rsidRPr="00E156FE" w:rsidTr="0020796F">
        <w:tc>
          <w:tcPr>
            <w:tcW w:w="10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9BD4F9" w:themeFill="background2" w:themeFillShade="E6"/>
            <w:vAlign w:val="center"/>
          </w:tcPr>
          <w:p w:rsidR="00E3587A" w:rsidRPr="00E3587A" w:rsidRDefault="00E3587A" w:rsidP="00E3587A">
            <w:pPr>
              <w:rPr>
                <w:rFonts w:cs="Arial"/>
                <w:b/>
                <w:bCs/>
              </w:rPr>
            </w:pP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3587A" w:rsidRPr="00E3587A" w:rsidRDefault="00E3587A" w:rsidP="00E3587A">
            <w:pPr>
              <w:rPr>
                <w:rFonts w:cs="Arial"/>
                <w:b/>
              </w:rPr>
            </w:pPr>
          </w:p>
        </w:tc>
      </w:tr>
    </w:tbl>
    <w:p w:rsidR="00EF13F2" w:rsidRDefault="00EF13F2" w:rsidP="005F0BD5"/>
    <w:p w:rsidR="00E3587A" w:rsidRDefault="00E3587A" w:rsidP="005F0BD5"/>
    <w:p w:rsidR="003142EF" w:rsidRPr="008D01A9" w:rsidRDefault="003142EF" w:rsidP="008D01A9">
      <w:r>
        <w:t>________________________</w:t>
      </w:r>
    </w:p>
    <w:p w:rsidR="003142EF" w:rsidRPr="00E8780A" w:rsidRDefault="001C42BD" w:rsidP="003142EF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  <w:rFonts w:ascii="Arial Narrow" w:hAnsi="Arial Narrow"/>
          <w:sz w:val="18"/>
          <w:szCs w:val="18"/>
        </w:rPr>
        <w:t xml:space="preserve">3 </w:t>
      </w:r>
      <w:r>
        <w:rPr>
          <w:rFonts w:ascii="Arial Narrow" w:hAnsi="Arial Narrow"/>
          <w:sz w:val="18"/>
          <w:szCs w:val="18"/>
        </w:rPr>
        <w:t xml:space="preserve"> </w:t>
      </w:r>
      <w:r w:rsidR="005028DD">
        <w:rPr>
          <w:rFonts w:ascii="Arial Narrow" w:hAnsi="Arial Narrow"/>
          <w:sz w:val="18"/>
          <w:szCs w:val="18"/>
        </w:rPr>
        <w:t>Uvádzať  sumu</w:t>
      </w:r>
      <w:r w:rsidR="003142EF" w:rsidRPr="003425D3">
        <w:rPr>
          <w:rFonts w:ascii="Arial Narrow" w:hAnsi="Arial Narrow"/>
          <w:sz w:val="18"/>
          <w:szCs w:val="18"/>
        </w:rPr>
        <w:t xml:space="preserve"> výdavkov uhradených </w:t>
      </w:r>
      <w:r w:rsidR="003142EF">
        <w:rPr>
          <w:rFonts w:ascii="Arial Narrow" w:hAnsi="Arial Narrow"/>
          <w:sz w:val="18"/>
          <w:szCs w:val="18"/>
        </w:rPr>
        <w:t xml:space="preserve"> zo strany </w:t>
      </w:r>
      <w:r w:rsidR="003142EF" w:rsidRPr="003425D3">
        <w:rPr>
          <w:rFonts w:ascii="Arial Narrow" w:hAnsi="Arial Narrow"/>
          <w:sz w:val="18"/>
          <w:szCs w:val="18"/>
        </w:rPr>
        <w:t>prijímateľ</w:t>
      </w:r>
      <w:r w:rsidR="003142EF">
        <w:rPr>
          <w:rFonts w:ascii="Arial Narrow" w:hAnsi="Arial Narrow"/>
          <w:sz w:val="18"/>
          <w:szCs w:val="18"/>
        </w:rPr>
        <w:t>a dodávateľom</w:t>
      </w:r>
      <w:r w:rsidR="003142EF" w:rsidRPr="003425D3">
        <w:rPr>
          <w:rFonts w:ascii="Arial Narrow" w:hAnsi="Arial Narrow"/>
          <w:sz w:val="18"/>
          <w:szCs w:val="18"/>
        </w:rPr>
        <w:t xml:space="preserve"> za sledované obdobie.</w:t>
      </w:r>
    </w:p>
    <w:p w:rsidR="003142EF" w:rsidRDefault="00E22E36" w:rsidP="003142EF">
      <w:pPr>
        <w:pStyle w:val="Textpoznmkypodiarou"/>
        <w:rPr>
          <w:rFonts w:ascii="Arial Narrow" w:hAnsi="Arial Narrow"/>
          <w:sz w:val="18"/>
          <w:szCs w:val="18"/>
        </w:rPr>
      </w:pPr>
      <w:r w:rsidRPr="00E22E36">
        <w:rPr>
          <w:rStyle w:val="Odkaznapoznmkupodiarou"/>
          <w:rFonts w:ascii="Arial Narrow" w:hAnsi="Arial Narrow"/>
          <w:sz w:val="18"/>
          <w:szCs w:val="18"/>
        </w:rPr>
        <w:t>4</w:t>
      </w:r>
      <w:r w:rsidR="003142EF">
        <w:t xml:space="preserve"> </w:t>
      </w:r>
      <w:r w:rsidR="003142EF">
        <w:rPr>
          <w:rFonts w:ascii="Arial Narrow" w:hAnsi="Arial Narrow"/>
          <w:sz w:val="18"/>
          <w:szCs w:val="18"/>
        </w:rPr>
        <w:t>U</w:t>
      </w:r>
      <w:r w:rsidR="002F7E3A">
        <w:rPr>
          <w:rFonts w:ascii="Arial Narrow" w:hAnsi="Arial Narrow"/>
          <w:sz w:val="18"/>
          <w:szCs w:val="18"/>
        </w:rPr>
        <w:t xml:space="preserve">vádzať </w:t>
      </w:r>
      <w:r w:rsidR="003142EF" w:rsidRPr="00DA76AB">
        <w:rPr>
          <w:rFonts w:ascii="Arial Narrow" w:hAnsi="Arial Narrow"/>
          <w:sz w:val="18"/>
          <w:szCs w:val="18"/>
        </w:rPr>
        <w:t xml:space="preserve"> sumu oprávnených výdavkov v </w:t>
      </w:r>
      <w:proofErr w:type="spellStart"/>
      <w:r w:rsidR="003142EF" w:rsidRPr="00DA76AB">
        <w:rPr>
          <w:rFonts w:ascii="Arial Narrow" w:hAnsi="Arial Narrow"/>
          <w:sz w:val="18"/>
          <w:szCs w:val="18"/>
        </w:rPr>
        <w:t>ŽoP</w:t>
      </w:r>
      <w:proofErr w:type="spellEnd"/>
      <w:r w:rsidR="003142EF" w:rsidRPr="00DA76AB">
        <w:rPr>
          <w:rFonts w:ascii="Arial Narrow" w:hAnsi="Arial Narrow"/>
          <w:sz w:val="18"/>
          <w:szCs w:val="18"/>
        </w:rPr>
        <w:t xml:space="preserve"> </w:t>
      </w:r>
      <w:r w:rsidR="002F7E3A">
        <w:rPr>
          <w:rFonts w:ascii="Arial Narrow" w:hAnsi="Arial Narrow"/>
          <w:sz w:val="18"/>
          <w:szCs w:val="18"/>
        </w:rPr>
        <w:t xml:space="preserve">        </w:t>
      </w:r>
    </w:p>
    <w:p w:rsidR="002F7E3A" w:rsidRDefault="002F7E3A" w:rsidP="003142EF">
      <w:pPr>
        <w:pStyle w:val="Textpoznmkypodiarou"/>
      </w:pPr>
      <w:r>
        <w:rPr>
          <w:rFonts w:ascii="Arial Narrow" w:hAnsi="Arial Narrow"/>
          <w:sz w:val="18"/>
          <w:szCs w:val="18"/>
          <w:vertAlign w:val="superscript"/>
        </w:rPr>
        <w:t xml:space="preserve">5 </w:t>
      </w:r>
      <w:r>
        <w:rPr>
          <w:rFonts w:ascii="Arial Narrow" w:hAnsi="Arial Narrow"/>
          <w:sz w:val="18"/>
          <w:szCs w:val="18"/>
        </w:rPr>
        <w:t xml:space="preserve"> </w:t>
      </w:r>
      <w:r w:rsidRPr="003425D3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ť </w:t>
      </w:r>
      <w:r w:rsidRPr="003425D3">
        <w:rPr>
          <w:rFonts w:ascii="Arial Narrow" w:hAnsi="Arial Narrow"/>
          <w:sz w:val="18"/>
          <w:szCs w:val="18"/>
        </w:rPr>
        <w:t xml:space="preserve"> iba v prípade nesúladu skutočného a plánovaného stavu finančnej realizácie aktivít projektu</w:t>
      </w:r>
      <w:r w:rsidRPr="00E60F5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podľa </w:t>
      </w:r>
      <w:r w:rsidRPr="00DA76AB">
        <w:rPr>
          <w:rFonts w:ascii="Arial Narrow" w:hAnsi="Arial Narrow"/>
          <w:sz w:val="18"/>
          <w:szCs w:val="18"/>
        </w:rPr>
        <w:t xml:space="preserve">plánu predkladania  </w:t>
      </w:r>
      <w:proofErr w:type="spellStart"/>
      <w:r w:rsidRPr="00DA76AB">
        <w:rPr>
          <w:rFonts w:ascii="Arial Narrow" w:hAnsi="Arial Narrow"/>
          <w:sz w:val="18"/>
          <w:szCs w:val="18"/>
        </w:rPr>
        <w:t>ŽoP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424516">
        <w:rPr>
          <w:rFonts w:ascii="Arial Narrow" w:hAnsi="Arial Narrow" w:cs="Arial"/>
          <w:bCs/>
          <w:sz w:val="18"/>
          <w:szCs w:val="18"/>
        </w:rPr>
        <w:t xml:space="preserve"> </w:t>
      </w:r>
      <w:r w:rsidRPr="003425D3">
        <w:rPr>
          <w:rFonts w:ascii="Arial Narrow" w:hAnsi="Arial Narrow" w:cs="Arial"/>
          <w:bCs/>
          <w:sz w:val="18"/>
          <w:szCs w:val="18"/>
        </w:rPr>
        <w:t>vrátane špecifikácie nápravných opatrení.</w:t>
      </w:r>
    </w:p>
    <w:p w:rsidR="00147445" w:rsidRDefault="00147445" w:rsidP="005F0BD5"/>
    <w:p w:rsidR="00E22E36" w:rsidRDefault="00E22E36" w:rsidP="005F0BD5"/>
    <w:p w:rsidR="00D70695" w:rsidRDefault="00147445" w:rsidP="005F0BD5">
      <w:r>
        <w:t>4</w:t>
      </w:r>
      <w:r w:rsidR="00C706AA">
        <w:t xml:space="preserve">. Prílohy </w:t>
      </w:r>
    </w:p>
    <w:p w:rsidR="00D70695" w:rsidRDefault="00D70695" w:rsidP="005F0BD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proofErr w:type="spellStart"/>
            <w:r w:rsidRPr="00C706AA">
              <w:rPr>
                <w:b/>
              </w:rPr>
              <w:t>P.č</w:t>
            </w:r>
            <w:proofErr w:type="spellEnd"/>
            <w:r w:rsidRPr="00C706AA">
              <w:rPr>
                <w:b/>
              </w:rPr>
              <w:t xml:space="preserve">. </w:t>
            </w:r>
          </w:p>
        </w:tc>
        <w:tc>
          <w:tcPr>
            <w:tcW w:w="8395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Názov prílohy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>
            <w:r>
              <w:t>1.</w:t>
            </w:r>
          </w:p>
        </w:tc>
        <w:tc>
          <w:tcPr>
            <w:tcW w:w="8395" w:type="dxa"/>
          </w:tcPr>
          <w:p w:rsidR="00C706AA" w:rsidRDefault="00C706AA" w:rsidP="00D62A6B">
            <w:r>
              <w:t xml:space="preserve">Plán predkladania </w:t>
            </w:r>
            <w:proofErr w:type="spellStart"/>
            <w:r>
              <w:t>ŽoP</w:t>
            </w:r>
            <w:proofErr w:type="spellEnd"/>
            <w:r>
              <w:t xml:space="preserve"> </w:t>
            </w:r>
            <w:r w:rsidR="00D62A6B">
              <w:t>na nasledujúci</w:t>
            </w:r>
            <w:r>
              <w:t xml:space="preserve"> mesiac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2. </w:t>
            </w:r>
          </w:p>
        </w:tc>
        <w:tc>
          <w:tcPr>
            <w:tcW w:w="8395" w:type="dxa"/>
          </w:tcPr>
          <w:p w:rsidR="00C706AA" w:rsidRDefault="0039448D" w:rsidP="00D2047B">
            <w:r>
              <w:t xml:space="preserve">Fotodokumentácia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3. </w:t>
            </w:r>
          </w:p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</w:tbl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147445" w:rsidRDefault="00147445" w:rsidP="005F0BD5"/>
    <w:p w:rsidR="00147445" w:rsidRDefault="00147445" w:rsidP="005F0BD5"/>
    <w:p w:rsidR="00147445" w:rsidRDefault="00147445" w:rsidP="005F0BD5"/>
    <w:p w:rsidR="00147445" w:rsidRDefault="00147445" w:rsidP="005F0BD5"/>
    <w:p w:rsidR="00C322BA" w:rsidRPr="00C65A6F" w:rsidRDefault="00C322BA" w:rsidP="005F0BD5"/>
    <w:p w:rsidR="00C65A6F" w:rsidRPr="00C65A6F" w:rsidRDefault="00C65A6F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68"/>
        <w:gridCol w:w="4000"/>
      </w:tblGrid>
      <w:tr w:rsidR="00C65A6F" w:rsidRPr="00C65A6F" w:rsidTr="00A725E8">
        <w:trPr>
          <w:jc w:val="center"/>
        </w:trPr>
        <w:tc>
          <w:tcPr>
            <w:tcW w:w="8568" w:type="dxa"/>
            <w:gridSpan w:val="2"/>
          </w:tcPr>
          <w:p w:rsidR="00C65A6F" w:rsidRPr="002877FE" w:rsidRDefault="00C65A6F" w:rsidP="00852D9C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  <w:r w:rsidRPr="002877FE">
              <w:rPr>
                <w:rFonts w:cs="Arial"/>
                <w:b/>
                <w:bCs/>
                <w:u w:val="single"/>
              </w:rPr>
              <w:t>Vypracoval:</w:t>
            </w:r>
            <w:r w:rsidR="00852D9C" w:rsidRPr="00852D9C">
              <w:rPr>
                <w:rFonts w:cs="Arial"/>
                <w:b/>
                <w:bCs/>
              </w:rPr>
              <w:t xml:space="preserve"> RNDr. Jozef Gajdoš, PhD.</w:t>
            </w:r>
          </w:p>
        </w:tc>
      </w:tr>
      <w:tr w:rsidR="006D40A8" w:rsidRPr="00C65A6F" w:rsidTr="00DB671A">
        <w:trPr>
          <w:jc w:val="center"/>
        </w:trPr>
        <w:tc>
          <w:tcPr>
            <w:tcW w:w="8568" w:type="dxa"/>
            <w:gridSpan w:val="2"/>
          </w:tcPr>
          <w:p w:rsidR="006D40A8" w:rsidRDefault="006D40A8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  <w:r>
              <w:rPr>
                <w:rFonts w:cs="Arial"/>
              </w:rPr>
              <w:t xml:space="preserve"> </w:t>
            </w:r>
            <w:r w:rsidRPr="00852D9C">
              <w:rPr>
                <w:rFonts w:cs="Arial"/>
              </w:rPr>
              <w:t>Projektový</w:t>
            </w:r>
            <w:r>
              <w:rPr>
                <w:rFonts w:cs="Arial"/>
              </w:rPr>
              <w:t xml:space="preserve"> </w:t>
            </w:r>
            <w:r w:rsidRPr="00852D9C">
              <w:rPr>
                <w:rFonts w:cs="Arial"/>
              </w:rPr>
              <w:t>manažér TECHNICOM</w:t>
            </w:r>
          </w:p>
          <w:p w:rsidR="006D40A8" w:rsidRPr="00C65A6F" w:rsidRDefault="006D40A8" w:rsidP="00A725E8">
            <w:pPr>
              <w:spacing w:before="20" w:after="20"/>
              <w:ind w:right="-820"/>
              <w:rPr>
                <w:rFonts w:cs="Arial"/>
              </w:rPr>
            </w:pPr>
            <w:r w:rsidRPr="00C65A6F">
              <w:rPr>
                <w:rFonts w:cs="Arial"/>
              </w:rPr>
              <w:t>Dátum vyhotoven</w:t>
            </w:r>
            <w:r>
              <w:rPr>
                <w:rFonts w:cs="Arial"/>
              </w:rPr>
              <w:t>ia: 9.4.2015</w:t>
            </w:r>
          </w:p>
        </w:tc>
      </w:tr>
      <w:tr w:rsidR="00C65A6F" w:rsidRPr="00C65A6F" w:rsidTr="00A725E8">
        <w:trPr>
          <w:jc w:val="center"/>
        </w:trPr>
        <w:tc>
          <w:tcPr>
            <w:tcW w:w="4568" w:type="dxa"/>
            <w:vAlign w:val="bottom"/>
          </w:tcPr>
          <w:p w:rsidR="00C65A6F" w:rsidRPr="00C65A6F" w:rsidRDefault="00C65A6F" w:rsidP="00A725E8">
            <w:pPr>
              <w:spacing w:before="240" w:after="240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A725E8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A725E8">
        <w:trPr>
          <w:jc w:val="center"/>
        </w:trPr>
        <w:tc>
          <w:tcPr>
            <w:tcW w:w="4568" w:type="dxa"/>
          </w:tcPr>
          <w:p w:rsidR="006D40A8" w:rsidRDefault="006D40A8" w:rsidP="00C65A6F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</w:p>
          <w:p w:rsidR="00C65A6F" w:rsidRPr="006D40A8" w:rsidRDefault="00C65A6F" w:rsidP="00C65A6F">
            <w:pPr>
              <w:spacing w:before="20" w:after="20"/>
              <w:jc w:val="both"/>
              <w:rPr>
                <w:rFonts w:cs="Arial"/>
                <w:b/>
              </w:rPr>
            </w:pPr>
            <w:bookmarkStart w:id="0" w:name="_GoBack"/>
            <w:bookmarkEnd w:id="0"/>
            <w:r w:rsidRPr="002877FE">
              <w:rPr>
                <w:rFonts w:cs="Arial"/>
                <w:b/>
                <w:bCs/>
                <w:u w:val="single"/>
              </w:rPr>
              <w:t>Schválil:</w:t>
            </w:r>
            <w:r w:rsidR="006D40A8">
              <w:rPr>
                <w:rFonts w:cs="Arial"/>
                <w:b/>
                <w:bCs/>
              </w:rPr>
              <w:t xml:space="preserve"> doc. RNDr. Gabriel Semanišin, PhD.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A725E8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6D40A8" w:rsidRPr="00C65A6F" w:rsidTr="00856A04">
        <w:trPr>
          <w:jc w:val="center"/>
        </w:trPr>
        <w:tc>
          <w:tcPr>
            <w:tcW w:w="8568" w:type="dxa"/>
            <w:gridSpan w:val="2"/>
          </w:tcPr>
          <w:p w:rsidR="006D40A8" w:rsidRPr="00C65A6F" w:rsidRDefault="006D40A8" w:rsidP="00A725E8">
            <w:pPr>
              <w:spacing w:before="60" w:after="60"/>
              <w:ind w:right="-820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  <w:r>
              <w:rPr>
                <w:rFonts w:cs="Arial"/>
              </w:rPr>
              <w:t xml:space="preserve"> dekan PF UPJŠ</w:t>
            </w:r>
          </w:p>
        </w:tc>
      </w:tr>
      <w:tr w:rsidR="00C65A6F" w:rsidRPr="00C65A6F" w:rsidTr="00A725E8">
        <w:trPr>
          <w:jc w:val="center"/>
        </w:trPr>
        <w:tc>
          <w:tcPr>
            <w:tcW w:w="4568" w:type="dxa"/>
          </w:tcPr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schválenia: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A725E8">
            <w:pPr>
              <w:spacing w:before="120" w:after="120"/>
              <w:ind w:right="-820"/>
              <w:rPr>
                <w:rFonts w:cs="Arial"/>
              </w:rPr>
            </w:pPr>
          </w:p>
        </w:tc>
      </w:tr>
      <w:tr w:rsidR="00C65A6F" w:rsidRPr="00C65A6F" w:rsidTr="00A725E8">
        <w:trPr>
          <w:jc w:val="center"/>
        </w:trPr>
        <w:tc>
          <w:tcPr>
            <w:tcW w:w="4568" w:type="dxa"/>
          </w:tcPr>
          <w:p w:rsidR="00C65A6F" w:rsidRPr="00C65A6F" w:rsidRDefault="00C65A6F" w:rsidP="00A725E8">
            <w:pPr>
              <w:spacing w:before="240" w:after="24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A725E8">
            <w:pPr>
              <w:spacing w:before="240" w:after="240"/>
              <w:ind w:right="-820"/>
              <w:rPr>
                <w:rFonts w:cs="Arial"/>
              </w:rPr>
            </w:pPr>
          </w:p>
        </w:tc>
      </w:tr>
    </w:tbl>
    <w:p w:rsidR="008A54FD" w:rsidRDefault="008A54FD" w:rsidP="005F0BD5"/>
    <w:sectPr w:rsidR="008A54FD" w:rsidSect="0065201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1B" w:rsidRDefault="001B321B" w:rsidP="009A7112">
      <w:r>
        <w:separator/>
      </w:r>
    </w:p>
  </w:endnote>
  <w:endnote w:type="continuationSeparator" w:id="0">
    <w:p w:rsidR="001B321B" w:rsidRDefault="001B321B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10748"/>
      <w:docPartObj>
        <w:docPartGallery w:val="Page Numbers (Bottom of Page)"/>
        <w:docPartUnique/>
      </w:docPartObj>
    </w:sdtPr>
    <w:sdtEndPr/>
    <w:sdtContent>
      <w:p w:rsidR="001B321B" w:rsidRDefault="001B321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0A8">
          <w:rPr>
            <w:noProof/>
          </w:rPr>
          <w:t>1</w:t>
        </w:r>
        <w:r>
          <w:fldChar w:fldCharType="end"/>
        </w:r>
      </w:p>
    </w:sdtContent>
  </w:sdt>
  <w:p w:rsidR="001B321B" w:rsidRDefault="001B32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1B" w:rsidRDefault="001B321B" w:rsidP="009A7112">
      <w:r>
        <w:separator/>
      </w:r>
    </w:p>
  </w:footnote>
  <w:footnote w:type="continuationSeparator" w:id="0">
    <w:p w:rsidR="001B321B" w:rsidRDefault="001B321B" w:rsidP="009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1B" w:rsidRDefault="001B321B">
    <w:pPr>
      <w:pStyle w:val="Hlavika"/>
    </w:pPr>
    <w:r>
      <w:t>Kód ITMS: 26220220182</w:t>
    </w:r>
  </w:p>
  <w:p w:rsidR="001B321B" w:rsidRDefault="001B321B">
    <w:pPr>
      <w:pStyle w:val="Hlavika"/>
    </w:pPr>
  </w:p>
  <w:p w:rsidR="001B321B" w:rsidRDefault="001B321B">
    <w:pPr>
      <w:pStyle w:val="Hlavika"/>
    </w:pPr>
  </w:p>
  <w:p w:rsidR="001B321B" w:rsidRDefault="001B321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941"/>
    <w:multiLevelType w:val="hybridMultilevel"/>
    <w:tmpl w:val="07C67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5020"/>
    <w:multiLevelType w:val="hybridMultilevel"/>
    <w:tmpl w:val="3B220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4283A"/>
    <w:multiLevelType w:val="hybridMultilevel"/>
    <w:tmpl w:val="FB9AF5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59D9"/>
    <w:multiLevelType w:val="hybridMultilevel"/>
    <w:tmpl w:val="335CCC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B7075"/>
    <w:multiLevelType w:val="hybridMultilevel"/>
    <w:tmpl w:val="0B7AAB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620CA"/>
    <w:multiLevelType w:val="hybridMultilevel"/>
    <w:tmpl w:val="3E406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B27E7"/>
    <w:multiLevelType w:val="hybridMultilevel"/>
    <w:tmpl w:val="FB184A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7156D"/>
    <w:multiLevelType w:val="hybridMultilevel"/>
    <w:tmpl w:val="34FABD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F240C"/>
    <w:multiLevelType w:val="hybridMultilevel"/>
    <w:tmpl w:val="D2C45C8C"/>
    <w:lvl w:ilvl="0" w:tplc="86224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F03C4"/>
    <w:multiLevelType w:val="hybridMultilevel"/>
    <w:tmpl w:val="35209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2"/>
    <w:rsid w:val="000207AE"/>
    <w:rsid w:val="00041D84"/>
    <w:rsid w:val="000A27D0"/>
    <w:rsid w:val="000A6561"/>
    <w:rsid w:val="000A69A6"/>
    <w:rsid w:val="000A79B4"/>
    <w:rsid w:val="000E7542"/>
    <w:rsid w:val="00114E39"/>
    <w:rsid w:val="001272BD"/>
    <w:rsid w:val="00147445"/>
    <w:rsid w:val="00157A38"/>
    <w:rsid w:val="00176EF5"/>
    <w:rsid w:val="0018056B"/>
    <w:rsid w:val="001846EB"/>
    <w:rsid w:val="001A3961"/>
    <w:rsid w:val="001B321B"/>
    <w:rsid w:val="001C42BD"/>
    <w:rsid w:val="00204800"/>
    <w:rsid w:val="00206D7D"/>
    <w:rsid w:val="0020796F"/>
    <w:rsid w:val="0023192C"/>
    <w:rsid w:val="00237530"/>
    <w:rsid w:val="00243618"/>
    <w:rsid w:val="002877FE"/>
    <w:rsid w:val="002A7B27"/>
    <w:rsid w:val="002F7E3A"/>
    <w:rsid w:val="00311718"/>
    <w:rsid w:val="003142EF"/>
    <w:rsid w:val="003272E8"/>
    <w:rsid w:val="00331EFA"/>
    <w:rsid w:val="003462B4"/>
    <w:rsid w:val="00353F1A"/>
    <w:rsid w:val="00365918"/>
    <w:rsid w:val="00370C82"/>
    <w:rsid w:val="00372E0A"/>
    <w:rsid w:val="0039448D"/>
    <w:rsid w:val="003A554A"/>
    <w:rsid w:val="003C4B7C"/>
    <w:rsid w:val="003D7C31"/>
    <w:rsid w:val="0043004B"/>
    <w:rsid w:val="00430090"/>
    <w:rsid w:val="00434F1F"/>
    <w:rsid w:val="00442CAC"/>
    <w:rsid w:val="00466316"/>
    <w:rsid w:val="004822D7"/>
    <w:rsid w:val="00496D13"/>
    <w:rsid w:val="004B4C86"/>
    <w:rsid w:val="0050147F"/>
    <w:rsid w:val="005028DD"/>
    <w:rsid w:val="00561E56"/>
    <w:rsid w:val="0057062F"/>
    <w:rsid w:val="005708B9"/>
    <w:rsid w:val="005E4DF4"/>
    <w:rsid w:val="005F0BD5"/>
    <w:rsid w:val="006024E7"/>
    <w:rsid w:val="00647E2E"/>
    <w:rsid w:val="0065201F"/>
    <w:rsid w:val="006D40A8"/>
    <w:rsid w:val="006D6EB3"/>
    <w:rsid w:val="006E4A8E"/>
    <w:rsid w:val="00714685"/>
    <w:rsid w:val="00717D64"/>
    <w:rsid w:val="00720BEF"/>
    <w:rsid w:val="00735CA1"/>
    <w:rsid w:val="00737453"/>
    <w:rsid w:val="00743E23"/>
    <w:rsid w:val="00755127"/>
    <w:rsid w:val="00763AA8"/>
    <w:rsid w:val="007760B0"/>
    <w:rsid w:val="00785ED7"/>
    <w:rsid w:val="007873BB"/>
    <w:rsid w:val="00797159"/>
    <w:rsid w:val="007C75FF"/>
    <w:rsid w:val="0080026A"/>
    <w:rsid w:val="00836B10"/>
    <w:rsid w:val="00842186"/>
    <w:rsid w:val="00852D9C"/>
    <w:rsid w:val="008756E2"/>
    <w:rsid w:val="00892EE8"/>
    <w:rsid w:val="008A54FD"/>
    <w:rsid w:val="008D01A9"/>
    <w:rsid w:val="00910D26"/>
    <w:rsid w:val="00915F13"/>
    <w:rsid w:val="009262DA"/>
    <w:rsid w:val="00977814"/>
    <w:rsid w:val="009A6D2A"/>
    <w:rsid w:val="009A70CD"/>
    <w:rsid w:val="009A7112"/>
    <w:rsid w:val="009D5D0F"/>
    <w:rsid w:val="00A06021"/>
    <w:rsid w:val="00A363AC"/>
    <w:rsid w:val="00A54851"/>
    <w:rsid w:val="00A6315C"/>
    <w:rsid w:val="00A6336F"/>
    <w:rsid w:val="00A725E8"/>
    <w:rsid w:val="00AC67D9"/>
    <w:rsid w:val="00B00827"/>
    <w:rsid w:val="00B53979"/>
    <w:rsid w:val="00B937D4"/>
    <w:rsid w:val="00BA5185"/>
    <w:rsid w:val="00BD6D1D"/>
    <w:rsid w:val="00C322BA"/>
    <w:rsid w:val="00C35718"/>
    <w:rsid w:val="00C40389"/>
    <w:rsid w:val="00C65A6F"/>
    <w:rsid w:val="00C706AA"/>
    <w:rsid w:val="00C7538A"/>
    <w:rsid w:val="00C90CF8"/>
    <w:rsid w:val="00CF32AD"/>
    <w:rsid w:val="00D069D0"/>
    <w:rsid w:val="00D2047B"/>
    <w:rsid w:val="00D27CD1"/>
    <w:rsid w:val="00D62A6B"/>
    <w:rsid w:val="00D70695"/>
    <w:rsid w:val="00D820B8"/>
    <w:rsid w:val="00D939DF"/>
    <w:rsid w:val="00DB1E9B"/>
    <w:rsid w:val="00DD3A4F"/>
    <w:rsid w:val="00DD3B3F"/>
    <w:rsid w:val="00DE13BB"/>
    <w:rsid w:val="00DF01B0"/>
    <w:rsid w:val="00DF7C69"/>
    <w:rsid w:val="00E12A9A"/>
    <w:rsid w:val="00E20A02"/>
    <w:rsid w:val="00E21ECA"/>
    <w:rsid w:val="00E22E36"/>
    <w:rsid w:val="00E3137C"/>
    <w:rsid w:val="00E3587A"/>
    <w:rsid w:val="00E46773"/>
    <w:rsid w:val="00E54AEF"/>
    <w:rsid w:val="00E55DDC"/>
    <w:rsid w:val="00EA150F"/>
    <w:rsid w:val="00EB1451"/>
    <w:rsid w:val="00EC7605"/>
    <w:rsid w:val="00EE2AAA"/>
    <w:rsid w:val="00EF13F2"/>
    <w:rsid w:val="00F10985"/>
    <w:rsid w:val="00F42BEC"/>
    <w:rsid w:val="00F554C8"/>
    <w:rsid w:val="00F62CE5"/>
    <w:rsid w:val="00FA4E26"/>
    <w:rsid w:val="00FB13A5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A6D2A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A6D2A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thefunds/regional/index_sk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du.sk/op-vyskum-a&#160;vyvoj-erd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cl.ics.upjs.sk/symposium2015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minedu.s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B406-C1C5-4537-B145-EC5BA006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Hegedüš Roman</dc:creator>
  <cp:lastModifiedBy>dekanat</cp:lastModifiedBy>
  <cp:revision>19</cp:revision>
  <cp:lastPrinted>2015-03-10T08:47:00Z</cp:lastPrinted>
  <dcterms:created xsi:type="dcterms:W3CDTF">2015-03-31T16:25:00Z</dcterms:created>
  <dcterms:modified xsi:type="dcterms:W3CDTF">2015-04-09T10:22:00Z</dcterms:modified>
</cp:coreProperties>
</file>